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autoSpaceDE w:val="0"/>
        <w:autoSpaceDN w:val="0"/>
        <w:adjustRightInd w:val="0"/>
        <w:ind w:leftChars="0"/>
        <w:jc w:val="center"/>
        <w:rPr>
          <w:rFonts w:hint="eastAsia" w:ascii="標楷體" w:hAnsi="標楷體" w:eastAsia="標楷體" w:cs="標楷體"/>
          <w:color w:val="000000"/>
          <w:kern w:val="0"/>
          <w:sz w:val="44"/>
          <w:szCs w:val="44"/>
          <w:lang w:val="en-US" w:eastAsia="zh-CN"/>
        </w:rPr>
      </w:pPr>
      <w:bookmarkStart w:id="0" w:name="_GoBack"/>
      <w:r>
        <w:rPr>
          <w:rFonts w:hint="eastAsia" w:ascii="標楷體" w:hAnsi="標楷體" w:eastAsia="標楷體" w:cs="標楷體"/>
          <w:color w:val="000000"/>
          <w:kern w:val="0"/>
          <w:sz w:val="44"/>
          <w:szCs w:val="44"/>
          <w:lang w:val="en-US" w:eastAsia="zh-CN"/>
        </w:rPr>
        <w:t>期中考題庫</w:t>
      </w:r>
      <w:bookmarkEnd w:id="0"/>
    </w:p>
    <w:p>
      <w:pPr>
        <w:numPr>
          <w:numId w:val="0"/>
        </w:numPr>
        <w:autoSpaceDE w:val="0"/>
        <w:autoSpaceDN w:val="0"/>
        <w:adjustRightInd w:val="0"/>
        <w:ind w:leftChars="0"/>
        <w:rPr>
          <w:rFonts w:hint="eastAsia" w:ascii="標楷體" w:hAnsi="標楷體" w:eastAsia="標楷體" w:cs="標楷體"/>
          <w:color w:val="000000"/>
          <w:kern w:val="0"/>
          <w:szCs w:val="24"/>
        </w:rPr>
      </w:pP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b/>
          <w:bCs/>
          <w:color w:val="B32600"/>
          <w:kern w:val="0"/>
          <w:szCs w:val="24"/>
        </w:rPr>
        <w:t xml:space="preserve"> </w:t>
      </w:r>
      <w:r>
        <w:rPr>
          <w:rFonts w:hint="eastAsia" w:ascii="標楷體" w:hAnsi="標楷體" w:eastAsia="標楷體" w:cs="標楷體"/>
          <w:color w:val="000000"/>
          <w:kern w:val="0"/>
          <w:szCs w:val="24"/>
        </w:rPr>
        <w:t>相對於高中畢業即進入職場工作，選擇就讀大學的機會成本並不包括下列哪一個部分？</w:t>
      </w:r>
      <w:r>
        <w:rPr>
          <w:rFonts w:hint="eastAsia" w:ascii="標楷體" w:hAnsi="標楷體" w:eastAsia="標楷體" w:cs="標楷體"/>
          <w:color w:val="000000"/>
          <w:kern w:val="0"/>
          <w:szCs w:val="24"/>
        </w:rPr>
        <w:t xml:space="preserve">  (a)</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三餐費用</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學費</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書籍費</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如果沒有唸大學而選擇去工作時，可能賺得的薪資</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(106 </w:t>
      </w:r>
      <w:r>
        <w:rPr>
          <w:rFonts w:hint="eastAsia" w:ascii="標楷體" w:hAnsi="標楷體" w:eastAsia="標楷體" w:cs="標楷體"/>
          <w:color w:val="000000"/>
          <w:kern w:val="0"/>
          <w:szCs w:val="24"/>
        </w:rPr>
        <w:t>年勞工行政三等考試</w:t>
      </w:r>
      <w:r>
        <w:rPr>
          <w:rFonts w:hint="eastAsia" w:ascii="標楷體" w:hAnsi="標楷體" w:eastAsia="標楷體" w:cs="標楷體"/>
          <w:color w:val="000000"/>
          <w:kern w:val="0"/>
          <w:szCs w:val="24"/>
        </w:rPr>
        <w:t>)</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b/>
          <w:bCs/>
          <w:color w:val="B32600"/>
          <w:kern w:val="0"/>
          <w:szCs w:val="24"/>
        </w:rPr>
        <w:t xml:space="preserve"> </w:t>
      </w:r>
      <w:r>
        <w:rPr>
          <w:rFonts w:hint="eastAsia" w:ascii="標楷體" w:hAnsi="標楷體" w:eastAsia="標楷體" w:cs="標楷體"/>
          <w:color w:val="000000"/>
          <w:kern w:val="0"/>
          <w:szCs w:val="24"/>
        </w:rPr>
        <w:t>「天下沒有白吃的午餐」這句話是指哪一種原理原則？(b)</w:t>
      </w:r>
    </w:p>
    <w:p>
      <w:pPr>
        <w:numPr>
          <w:ilvl w:val="0"/>
          <w:numId w:val="0"/>
        </w:numPr>
        <w:autoSpaceDE w:val="0"/>
        <w:autoSpaceDN w:val="0"/>
        <w:adjustRightInd w:val="0"/>
        <w:ind w:left="480" w:left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商品是稀少的</w:t>
      </w:r>
    </w:p>
    <w:p>
      <w:pPr>
        <w:numPr>
          <w:ilvl w:val="0"/>
          <w:numId w:val="0"/>
        </w:numPr>
        <w:autoSpaceDE w:val="0"/>
        <w:autoSpaceDN w:val="0"/>
        <w:adjustRightInd w:val="0"/>
        <w:ind w:left="480" w:left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人們面臨取捨</w:t>
      </w:r>
    </w:p>
    <w:p>
      <w:pPr>
        <w:numPr>
          <w:ilvl w:val="0"/>
          <w:numId w:val="0"/>
        </w:numPr>
        <w:autoSpaceDE w:val="0"/>
        <w:autoSpaceDN w:val="0"/>
        <w:adjustRightInd w:val="0"/>
        <w:ind w:left="480" w:left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家計單位面臨許多決策</w:t>
      </w:r>
    </w:p>
    <w:p>
      <w:pPr>
        <w:numPr>
          <w:ilvl w:val="0"/>
          <w:numId w:val="0"/>
        </w:numPr>
        <w:autoSpaceDE w:val="0"/>
        <w:autoSpaceDN w:val="0"/>
        <w:adjustRightInd w:val="0"/>
        <w:ind w:left="480" w:left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大家必須賺錢</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阿呆在速食店工作時薪</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100 </w:t>
      </w:r>
      <w:r>
        <w:rPr>
          <w:rFonts w:hint="eastAsia" w:ascii="標楷體" w:hAnsi="標楷體" w:eastAsia="標楷體" w:cs="標楷體"/>
          <w:color w:val="000000"/>
          <w:kern w:val="0"/>
          <w:szCs w:val="24"/>
        </w:rPr>
        <w:t>元，為了與女友共度情人節，阿呆向店長請假</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3 </w:t>
      </w:r>
      <w:r>
        <w:rPr>
          <w:rFonts w:hint="eastAsia" w:ascii="標楷體" w:hAnsi="標楷體" w:eastAsia="標楷體" w:cs="標楷體"/>
          <w:color w:val="000000"/>
          <w:kern w:val="0"/>
          <w:szCs w:val="24"/>
        </w:rPr>
        <w:t>小時，花</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200 </w:t>
      </w:r>
      <w:r>
        <w:rPr>
          <w:rFonts w:hint="eastAsia" w:ascii="標楷體" w:hAnsi="標楷體" w:eastAsia="標楷體" w:cs="標楷體"/>
          <w:color w:val="000000"/>
          <w:kern w:val="0"/>
          <w:szCs w:val="24"/>
        </w:rPr>
        <w:t>元買了一束玫瑰花，並請女友吃法式西餐用掉</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1,000</w:t>
      </w:r>
      <w:r>
        <w:rPr>
          <w:rFonts w:hint="eastAsia" w:ascii="標楷體" w:hAnsi="標楷體" w:eastAsia="標楷體" w:cs="標楷體"/>
          <w:color w:val="000000"/>
          <w:kern w:val="0"/>
          <w:szCs w:val="24"/>
        </w:rPr>
        <w:t>元，阿呆過情人節的經濟成本是多少？</w:t>
      </w:r>
      <w:r>
        <w:rPr>
          <w:rFonts w:hint="eastAsia" w:ascii="標楷體" w:hAnsi="標楷體" w:eastAsia="標楷體" w:cs="標楷體"/>
          <w:color w:val="000000"/>
          <w:kern w:val="0"/>
          <w:szCs w:val="24"/>
        </w:rPr>
        <w:t xml:space="preserve"> (b)</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(a) 1300</w:t>
      </w:r>
      <w:r>
        <w:rPr>
          <w:rFonts w:hint="eastAsia" w:ascii="標楷體" w:hAnsi="標楷體" w:eastAsia="標楷體" w:cs="標楷體"/>
          <w:color w:val="000000"/>
          <w:kern w:val="0"/>
          <w:szCs w:val="24"/>
        </w:rPr>
        <w:t>元</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(b) 1500</w:t>
      </w:r>
      <w:r>
        <w:rPr>
          <w:rFonts w:hint="eastAsia" w:ascii="標楷體" w:hAnsi="標楷體" w:eastAsia="標楷體" w:cs="標楷體"/>
          <w:color w:val="000000"/>
          <w:kern w:val="0"/>
          <w:szCs w:val="24"/>
        </w:rPr>
        <w:t>元</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(c) 1000</w:t>
      </w:r>
      <w:r>
        <w:rPr>
          <w:rFonts w:hint="eastAsia" w:ascii="標楷體" w:hAnsi="標楷體" w:eastAsia="標楷體" w:cs="標楷體"/>
          <w:color w:val="000000"/>
          <w:kern w:val="0"/>
          <w:szCs w:val="24"/>
        </w:rPr>
        <w:t>元</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(d) 300</w:t>
      </w:r>
      <w:r>
        <w:rPr>
          <w:rFonts w:hint="eastAsia" w:ascii="標楷體" w:hAnsi="標楷體" w:eastAsia="標楷體" w:cs="標楷體"/>
          <w:color w:val="000000"/>
          <w:kern w:val="0"/>
          <w:szCs w:val="24"/>
        </w:rPr>
        <w:t>元</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(105 </w:t>
      </w:r>
      <w:r>
        <w:rPr>
          <w:rFonts w:hint="eastAsia" w:ascii="標楷體" w:hAnsi="標楷體" w:eastAsia="標楷體" w:cs="標楷體"/>
          <w:color w:val="000000"/>
          <w:kern w:val="0"/>
          <w:szCs w:val="24"/>
        </w:rPr>
        <w:t>年國際經濟商務人員特考</w:t>
      </w:r>
      <w:r>
        <w:rPr>
          <w:rFonts w:hint="eastAsia" w:ascii="標楷體" w:hAnsi="標楷體" w:eastAsia="標楷體" w:cs="標楷體"/>
          <w:color w:val="000000"/>
          <w:kern w:val="0"/>
          <w:szCs w:val="24"/>
        </w:rPr>
        <w:t>)</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日本樂桃航空飛行「臺北─大阪」航線，平均一個位子的成本是</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3,000</w:t>
      </w:r>
      <w:r>
        <w:rPr>
          <w:rFonts w:hint="eastAsia" w:ascii="標楷體" w:hAnsi="標楷體" w:eastAsia="標楷體" w:cs="標楷體"/>
          <w:color w:val="000000"/>
          <w:kern w:val="0"/>
          <w:szCs w:val="24"/>
        </w:rPr>
        <w:t>元。若飛機即將起飛，而有</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10 </w:t>
      </w:r>
      <w:r>
        <w:rPr>
          <w:rFonts w:hint="eastAsia" w:ascii="標楷體" w:hAnsi="標楷體" w:eastAsia="標楷體" w:cs="標楷體"/>
          <w:color w:val="000000"/>
          <w:kern w:val="0"/>
          <w:szCs w:val="24"/>
        </w:rPr>
        <w:t>個空位未售出，阿基師願付</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2,000 </w:t>
      </w:r>
      <w:r>
        <w:rPr>
          <w:rFonts w:hint="eastAsia" w:ascii="標楷體" w:hAnsi="標楷體" w:eastAsia="標楷體" w:cs="標楷體"/>
          <w:color w:val="000000"/>
          <w:kern w:val="0"/>
          <w:szCs w:val="24"/>
        </w:rPr>
        <w:t>元買候補機位，請問在樂桃航空不會提供任何餐點的情況下，是否該出售空位給阿基師？</w:t>
      </w:r>
      <w:r>
        <w:rPr>
          <w:rFonts w:hint="eastAsia" w:ascii="標楷體" w:hAnsi="標楷體" w:eastAsia="標楷體" w:cs="標楷體"/>
          <w:color w:val="000000"/>
          <w:kern w:val="0"/>
          <w:szCs w:val="24"/>
        </w:rPr>
        <w:t xml:space="preserve"> (b)</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不應該</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應該</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不知道</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無法判斷</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一木匠每週可生產</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100 </w:t>
      </w:r>
      <w:r>
        <w:rPr>
          <w:rFonts w:hint="eastAsia" w:ascii="標楷體" w:hAnsi="標楷體" w:eastAsia="標楷體" w:cs="標楷體"/>
          <w:color w:val="000000"/>
          <w:kern w:val="0"/>
          <w:szCs w:val="24"/>
        </w:rPr>
        <w:t>張桌子，且銷售後可賺取利潤。他考慮擴充生產規模來製造更多桌子，請問他是否該擴張？</w:t>
      </w:r>
      <w:r>
        <w:rPr>
          <w:rFonts w:hint="eastAsia" w:ascii="標楷體" w:hAnsi="標楷體" w:eastAsia="標楷體" w:cs="標楷體"/>
          <w:color w:val="000000"/>
          <w:kern w:val="0"/>
          <w:szCs w:val="24"/>
        </w:rPr>
        <w:t xml:space="preserve"> (c)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是，因為生產桌子可以賺錢</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否，因為他無法賣出額外的桌子</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必須視生產的邊際成本與銷售的邊際收入而定</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必須視生產的平均成本與銷售的平均收入而定</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下列何者不是政府介入市場的理由？(d)</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價格機制失靈</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有外部性存在</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為追求公平</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市場為完全競爭</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(101 </w:t>
      </w:r>
      <w:r>
        <w:rPr>
          <w:rFonts w:hint="eastAsia" w:ascii="標楷體" w:hAnsi="標楷體" w:eastAsia="標楷體" w:cs="標楷體"/>
          <w:color w:val="000000"/>
          <w:kern w:val="0"/>
          <w:szCs w:val="24"/>
        </w:rPr>
        <w:t>年普考</w:t>
      </w:r>
      <w:r>
        <w:rPr>
          <w:rFonts w:hint="eastAsia" w:ascii="標楷體" w:hAnsi="標楷體" w:eastAsia="標楷體" w:cs="標楷體"/>
          <w:color w:val="000000"/>
          <w:kern w:val="0"/>
          <w:szCs w:val="24"/>
        </w:rPr>
        <w:t>)</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在市場經濟中，需要政府的原因之一為何？</w:t>
      </w:r>
      <w:r>
        <w:rPr>
          <w:rFonts w:hint="eastAsia" w:ascii="標楷體" w:hAnsi="標楷體" w:eastAsia="標楷體" w:cs="標楷體"/>
          <w:color w:val="000000"/>
          <w:kern w:val="0"/>
          <w:szCs w:val="24"/>
        </w:rPr>
        <w:t xml:space="preserve"> (d)</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對消費者購買的商品課稅</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提供貧窮者社會福利</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提供郵政與垃圾處理</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落實財產權</w:t>
      </w:r>
    </w:p>
    <w:p>
      <w:pPr>
        <w:autoSpaceDE w:val="0"/>
        <w:autoSpaceDN w:val="0"/>
        <w:adjustRightInd w:val="0"/>
        <w:rPr>
          <w:rFonts w:hint="eastAsia" w:ascii="標楷體" w:hAnsi="標楷體" w:eastAsia="標楷體" w:cs="標楷體"/>
          <w:color w:val="000000"/>
          <w:kern w:val="0"/>
          <w:szCs w:val="24"/>
        </w:rPr>
      </w:pP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下列何者會造成番茄醬均衡價格上升和其均衡數量下降？</w:t>
      </w:r>
      <w:r>
        <w:rPr>
          <w:rFonts w:hint="eastAsia" w:ascii="標楷體" w:hAnsi="標楷體" w:eastAsia="標楷體" w:cs="標楷體"/>
          <w:kern w:val="0"/>
          <w:szCs w:val="24"/>
        </w:rPr>
        <w:t xml:space="preserve"> (b)</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番茄醬價格下跌</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番茄醬價格上升</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芥末為番茄替代品，芥末價格上升</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薯條為番茄互補品，薯條價格上升</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(105 </w:t>
      </w:r>
      <w:r>
        <w:rPr>
          <w:rFonts w:hint="eastAsia" w:ascii="標楷體" w:hAnsi="標楷體" w:eastAsia="標楷體" w:cs="標楷體"/>
          <w:color w:val="000000"/>
          <w:kern w:val="0"/>
          <w:szCs w:val="24"/>
        </w:rPr>
        <w:t>年高考三級暨普考</w:t>
      </w:r>
      <w:r>
        <w:rPr>
          <w:rFonts w:hint="eastAsia" w:ascii="標楷體" w:hAnsi="標楷體" w:eastAsia="標楷體" w:cs="標楷體"/>
          <w:color w:val="000000"/>
          <w:kern w:val="0"/>
          <w:szCs w:val="24"/>
        </w:rPr>
        <w:t>)</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大發百貨公司舉辦服飾類商品的換季促銷，所有過季的服飾一律打三折，但是購買的人反而減少，這是因為：</w:t>
      </w:r>
      <w:r>
        <w:rPr>
          <w:rFonts w:hint="eastAsia" w:ascii="標楷體" w:hAnsi="標楷體" w:eastAsia="標楷體" w:cs="標楷體"/>
          <w:kern w:val="0"/>
          <w:szCs w:val="24"/>
        </w:rPr>
        <w:t xml:space="preserve">  (b)</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需求線右移</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需求線左移</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供給線右移</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供給線左移</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(106 </w:t>
      </w:r>
      <w:r>
        <w:rPr>
          <w:rFonts w:hint="eastAsia" w:ascii="標楷體" w:hAnsi="標楷體" w:eastAsia="標楷體" w:cs="標楷體"/>
          <w:color w:val="000000"/>
          <w:kern w:val="0"/>
          <w:szCs w:val="24"/>
        </w:rPr>
        <w:t>年公務人員初等考試</w:t>
      </w:r>
      <w:r>
        <w:rPr>
          <w:rFonts w:hint="eastAsia" w:ascii="標楷體" w:hAnsi="標楷體" w:eastAsia="標楷體" w:cs="標楷體"/>
          <w:color w:val="000000"/>
          <w:kern w:val="0"/>
          <w:szCs w:val="24"/>
        </w:rPr>
        <w:t>)</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e-mail </w:t>
      </w:r>
      <w:r>
        <w:rPr>
          <w:rFonts w:hint="eastAsia" w:ascii="標楷體" w:hAnsi="標楷體" w:eastAsia="標楷體" w:cs="標楷體"/>
          <w:color w:val="000000"/>
          <w:kern w:val="0"/>
          <w:szCs w:val="24"/>
        </w:rPr>
        <w:t>與傳統信件為替代品，若技術進步使</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e-mail </w:t>
      </w:r>
      <w:r>
        <w:rPr>
          <w:rFonts w:hint="eastAsia" w:ascii="標楷體" w:hAnsi="標楷體" w:eastAsia="標楷體" w:cs="標楷體"/>
          <w:color w:val="000000"/>
          <w:kern w:val="0"/>
          <w:szCs w:val="24"/>
        </w:rPr>
        <w:t>價格下跌，請問傳統信件的均衡價格與數量變動為何？</w:t>
      </w:r>
      <w:r>
        <w:rPr>
          <w:rFonts w:hint="eastAsia" w:ascii="標楷體" w:hAnsi="標楷體" w:eastAsia="標楷體" w:cs="標楷體"/>
          <w:kern w:val="0"/>
          <w:szCs w:val="24"/>
        </w:rPr>
        <w:t xml:space="preserve"> (d)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上升，增加</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上升，減少</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下跌，增加</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下跌，減少</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下列何者對臺灣家庭而言，最可能是劣等財？</w:t>
      </w:r>
      <w:r>
        <w:rPr>
          <w:rFonts w:hint="eastAsia" w:ascii="標楷體" w:hAnsi="標楷體" w:eastAsia="標楷體" w:cs="標楷體"/>
          <w:kern w:val="0"/>
          <w:szCs w:val="24"/>
        </w:rPr>
        <w:t>(b)</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海外旅遊</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黑白電視機</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黃金</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紅酒</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(100 </w:t>
      </w:r>
      <w:r>
        <w:rPr>
          <w:rFonts w:hint="eastAsia" w:ascii="標楷體" w:hAnsi="標楷體" w:eastAsia="標楷體" w:cs="標楷體"/>
          <w:color w:val="000000"/>
          <w:kern w:val="0"/>
          <w:szCs w:val="24"/>
        </w:rPr>
        <w:t>年普考</w:t>
      </w:r>
      <w:r>
        <w:rPr>
          <w:rFonts w:hint="eastAsia" w:ascii="標楷體" w:hAnsi="標楷體" w:eastAsia="標楷體" w:cs="標楷體"/>
          <w:color w:val="000000"/>
          <w:kern w:val="0"/>
          <w:szCs w:val="24"/>
        </w:rPr>
        <w:t>)</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當樂桃航空調降票價</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20% </w:t>
      </w:r>
      <w:r>
        <w:rPr>
          <w:rFonts w:hint="eastAsia" w:ascii="標楷體" w:hAnsi="標楷體" w:eastAsia="標楷體" w:cs="標楷體"/>
          <w:color w:val="000000"/>
          <w:kern w:val="0"/>
          <w:szCs w:val="24"/>
        </w:rPr>
        <w:t>時，其銷售增加</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50%</w:t>
      </w:r>
      <w:r>
        <w:rPr>
          <w:rFonts w:hint="eastAsia" w:ascii="標楷體" w:hAnsi="標楷體" w:eastAsia="標楷體" w:cs="標楷體"/>
          <w:color w:val="000000"/>
          <w:kern w:val="0"/>
          <w:szCs w:val="24"/>
        </w:rPr>
        <w:t>，其需求價格彈性為何？</w:t>
      </w:r>
      <w:r>
        <w:rPr>
          <w:rFonts w:hint="eastAsia" w:ascii="標楷體" w:hAnsi="標楷體" w:eastAsia="標楷體" w:cs="標楷體"/>
          <w:kern w:val="0"/>
          <w:szCs w:val="24"/>
        </w:rPr>
        <w:t xml:space="preserve">  (c) </w:t>
      </w:r>
    </w:p>
    <w:p>
      <w:pPr>
        <w:numPr>
          <w:ilvl w:val="0"/>
          <w:numId w:val="2"/>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1.75 </w:t>
      </w:r>
    </w:p>
    <w:p>
      <w:pPr>
        <w:numPr>
          <w:ilvl w:val="0"/>
          <w:numId w:val="2"/>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0.7</w:t>
      </w:r>
    </w:p>
    <w:p>
      <w:pPr>
        <w:numPr>
          <w:ilvl w:val="0"/>
          <w:numId w:val="2"/>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2.5 </w:t>
      </w:r>
    </w:p>
    <w:p>
      <w:pPr>
        <w:numPr>
          <w:ilvl w:val="0"/>
          <w:numId w:val="2"/>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0.57</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在臺灣，很多商家都採「薄利多銷」的策略，這些商家產品的需求彈性應為何？</w:t>
      </w:r>
      <w:r>
        <w:rPr>
          <w:rFonts w:hint="eastAsia" w:ascii="標楷體" w:hAnsi="標楷體" w:eastAsia="標楷體" w:cs="標楷體"/>
          <w:kern w:val="0"/>
          <w:szCs w:val="24"/>
        </w:rPr>
        <w:t xml:space="preserve"> (b)</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小於</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1</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大於</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1</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等於</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1</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任意值</w:t>
      </w:r>
      <w:r>
        <w:rPr>
          <w:rFonts w:hint="eastAsia" w:ascii="標楷體" w:hAnsi="標楷體" w:eastAsia="標楷體" w:cs="標楷體"/>
          <w:color w:val="000000"/>
          <w:kern w:val="0"/>
          <w:szCs w:val="24"/>
        </w:rPr>
        <w:t xml:space="preserve">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(101 </w:t>
      </w:r>
      <w:r>
        <w:rPr>
          <w:rFonts w:hint="eastAsia" w:ascii="標楷體" w:hAnsi="標楷體" w:eastAsia="標楷體" w:cs="標楷體"/>
          <w:color w:val="000000"/>
          <w:kern w:val="0"/>
          <w:szCs w:val="24"/>
        </w:rPr>
        <w:t>年普考</w:t>
      </w:r>
      <w:r>
        <w:rPr>
          <w:rFonts w:hint="eastAsia" w:ascii="標楷體" w:hAnsi="標楷體" w:eastAsia="標楷體" w:cs="標楷體"/>
          <w:color w:val="000000"/>
          <w:kern w:val="0"/>
          <w:szCs w:val="24"/>
        </w:rPr>
        <w:t>)</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b/>
          <w:bCs/>
          <w:color w:val="B32600"/>
          <w:kern w:val="0"/>
          <w:szCs w:val="24"/>
        </w:rPr>
        <w:t xml:space="preserve"> </w:t>
      </w:r>
      <w:r>
        <w:rPr>
          <w:rFonts w:hint="eastAsia" w:ascii="標楷體" w:hAnsi="標楷體" w:eastAsia="標楷體" w:cs="標楷體"/>
          <w:color w:val="000000"/>
          <w:kern w:val="0"/>
          <w:szCs w:val="24"/>
        </w:rPr>
        <w:t>家樂福發現同樣價格下跌</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10%</w:t>
      </w:r>
      <w:r>
        <w:rPr>
          <w:rFonts w:hint="eastAsia" w:ascii="標楷體" w:hAnsi="標楷體" w:eastAsia="標楷體" w:cs="標楷體"/>
          <w:color w:val="000000"/>
          <w:kern w:val="0"/>
          <w:szCs w:val="24"/>
        </w:rPr>
        <w:t>，衛生紙的銷貨收入減少，手機的銷貨收入增加，下列何者錯誤？</w:t>
      </w:r>
      <w:r>
        <w:rPr>
          <w:rFonts w:hint="eastAsia" w:ascii="標楷體" w:hAnsi="標楷體" w:eastAsia="標楷體" w:cs="標楷體"/>
          <w:kern w:val="0"/>
          <w:szCs w:val="24"/>
        </w:rPr>
        <w:t xml:space="preserve">  (c)</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衛生紙數量增加小於</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10%</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衛生紙需求彈性小於手機需求彈性</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手機需求彈性小於</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1</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手機需求線比衛生紙需求線平坦</w:t>
      </w:r>
      <w:r>
        <w:rPr>
          <w:rFonts w:hint="eastAsia" w:ascii="標楷體" w:hAnsi="標楷體" w:eastAsia="標楷體" w:cs="標楷體"/>
          <w:color w:val="000000"/>
          <w:kern w:val="0"/>
          <w:szCs w:val="24"/>
        </w:rPr>
        <w:t xml:space="preserve"> </w:t>
      </w:r>
    </w:p>
    <w:p>
      <w:pPr>
        <w:numPr>
          <w:ilvl w:val="0"/>
          <w:numId w:val="0"/>
        </w:numPr>
        <w:autoSpaceDE w:val="0"/>
        <w:autoSpaceDN w:val="0"/>
        <w:adjustRightInd w:val="0"/>
        <w:ind w:left="480" w:leftChars="200" w:firstLine="0" w:firstLineChars="0"/>
        <w:rPr>
          <w:rFonts w:hint="eastAsia" w:ascii="標楷體" w:hAnsi="標楷體" w:eastAsia="標楷體" w:cs="標楷體"/>
        </w:rPr>
      </w:pPr>
      <w:r>
        <w:rPr>
          <w:rFonts w:hint="eastAsia" w:ascii="標楷體" w:hAnsi="標楷體" w:eastAsia="標楷體" w:cs="標楷體"/>
          <w:color w:val="000000"/>
          <w:kern w:val="0"/>
          <w:szCs w:val="24"/>
        </w:rPr>
        <w:t xml:space="preserve">(105 </w:t>
      </w:r>
      <w:r>
        <w:rPr>
          <w:rFonts w:hint="eastAsia" w:ascii="標楷體" w:hAnsi="標楷體" w:eastAsia="標楷體" w:cs="標楷體"/>
          <w:color w:val="000000"/>
          <w:kern w:val="0"/>
          <w:szCs w:val="24"/>
        </w:rPr>
        <w:t>年警察人員特考</w:t>
      </w:r>
      <w:r>
        <w:rPr>
          <w:rFonts w:hint="eastAsia" w:ascii="標楷體" w:hAnsi="標楷體" w:eastAsia="標楷體" w:cs="標楷體"/>
          <w:color w:val="000000"/>
          <w:kern w:val="0"/>
          <w:szCs w:val="24"/>
        </w:rPr>
        <w:t>)</w:t>
      </w:r>
      <w:r>
        <w:rPr>
          <w:rFonts w:hint="eastAsia" w:ascii="標楷體" w:hAnsi="標楷體" w:eastAsia="標楷體" w:cs="標楷體"/>
          <w:color w:val="FFFFFF"/>
          <w:kern w:val="0"/>
          <w:sz w:val="23"/>
          <w:szCs w:val="23"/>
        </w:rPr>
        <w:t>答</w:t>
      </w:r>
    </w:p>
    <w:p>
      <w:pPr>
        <w:numPr>
          <w:ilvl w:val="0"/>
          <w:numId w:val="1"/>
        </w:numPr>
        <w:autoSpaceDE w:val="0"/>
        <w:autoSpaceDN w:val="0"/>
        <w:adjustRightInd w:val="0"/>
        <w:ind w:left="425" w:leftChars="0" w:hanging="425" w:firstLineChars="0"/>
        <w:rPr>
          <w:rFonts w:hint="eastAsia" w:ascii="標楷體" w:hAnsi="標楷體" w:eastAsia="標楷體" w:cs="標楷體"/>
          <w:kern w:val="0"/>
          <w:szCs w:val="24"/>
        </w:rPr>
      </w:pPr>
      <w:r>
        <w:rPr>
          <w:rFonts w:hint="eastAsia" w:ascii="標楷體" w:hAnsi="標楷體" w:eastAsia="標楷體" w:cs="標楷體"/>
          <w:color w:val="000000"/>
          <w:kern w:val="0"/>
          <w:szCs w:val="24"/>
        </w:rPr>
        <w:t>假設大雄消費各種蘋果數量下的邊際效用都為正值，但隨著蘋果消費數量增加，邊際效用下降。大雄消費蘋果的總效用隨著蘋果消費數量增加而</w:t>
      </w:r>
      <w:r>
        <w:rPr>
          <w:rFonts w:hint="eastAsia" w:ascii="標楷體" w:hAnsi="標楷體" w:eastAsia="標楷體" w:cs="標楷體"/>
          <w:color w:val="000000"/>
          <w:kern w:val="0"/>
          <w:szCs w:val="24"/>
        </w:rPr>
        <w:t xml:space="preserve"> </w:t>
      </w:r>
      <w:r>
        <w:rPr>
          <w:rFonts w:hint="eastAsia" w:ascii="標楷體" w:hAnsi="標楷體" w:eastAsia="標楷體" w:cs="標楷體"/>
          <w:kern w:val="0"/>
          <w:szCs w:val="24"/>
        </w:rPr>
        <w:t xml:space="preserve"> (d)</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增加</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下降</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不變</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資訊不足，無法判斷</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(105 </w:t>
      </w:r>
      <w:r>
        <w:rPr>
          <w:rFonts w:hint="eastAsia" w:ascii="標楷體" w:hAnsi="標楷體" w:eastAsia="標楷體" w:cs="標楷體"/>
          <w:color w:val="000000"/>
          <w:kern w:val="0"/>
          <w:szCs w:val="24"/>
        </w:rPr>
        <w:t>年國際經濟商務人員特考</w:t>
      </w:r>
      <w:r>
        <w:rPr>
          <w:rFonts w:hint="eastAsia" w:ascii="標楷體" w:hAnsi="標楷體" w:eastAsia="標楷體" w:cs="標楷體"/>
          <w:color w:val="000000"/>
          <w:kern w:val="0"/>
          <w:szCs w:val="24"/>
        </w:rPr>
        <w:t>)</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小齊追求效用極大，且將所有預算用來消費鹹酥雞與可樂兩種商品。若在某時點他從鹹酥雞所得到的邊際效用是</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4</w:t>
      </w:r>
      <w:r>
        <w:rPr>
          <w:rFonts w:hint="eastAsia" w:ascii="標楷體" w:hAnsi="標楷體" w:eastAsia="標楷體" w:cs="標楷體"/>
          <w:color w:val="000000"/>
          <w:kern w:val="0"/>
          <w:szCs w:val="24"/>
        </w:rPr>
        <w:t>，從可樂得到的邊際效用是</w:t>
      </w:r>
      <w:r>
        <w:rPr>
          <w:rFonts w:hint="eastAsia" w:ascii="標楷體" w:hAnsi="標楷體" w:eastAsia="標楷體" w:cs="標楷體"/>
          <w:color w:val="000000"/>
          <w:kern w:val="0"/>
          <w:szCs w:val="24"/>
        </w:rPr>
        <w:t>3</w:t>
      </w:r>
      <w:r>
        <w:rPr>
          <w:rFonts w:hint="eastAsia" w:ascii="標楷體" w:hAnsi="標楷體" w:eastAsia="標楷體" w:cs="標楷體"/>
          <w:color w:val="000000"/>
          <w:kern w:val="0"/>
          <w:szCs w:val="24"/>
        </w:rPr>
        <w:t>；</w:t>
      </w:r>
      <w:r>
        <w:rPr>
          <w:rFonts w:hint="eastAsia" w:ascii="標楷體" w:hAnsi="標楷體" w:eastAsia="標楷體" w:cs="標楷體"/>
          <w:color w:val="000000"/>
          <w:kern w:val="0"/>
          <w:szCs w:val="24"/>
        </w:rPr>
        <w:t>而鹹酥雞價格是</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5</w:t>
      </w:r>
      <w:r>
        <w:rPr>
          <w:rFonts w:hint="eastAsia" w:ascii="標楷體" w:hAnsi="標楷體" w:eastAsia="標楷體" w:cs="標楷體"/>
          <w:color w:val="000000"/>
          <w:kern w:val="0"/>
          <w:szCs w:val="24"/>
        </w:rPr>
        <w:t>，可樂的價格是</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2</w:t>
      </w:r>
      <w:r>
        <w:rPr>
          <w:rFonts w:hint="eastAsia" w:ascii="標楷體" w:hAnsi="標楷體" w:eastAsia="標楷體" w:cs="標楷體"/>
          <w:color w:val="000000"/>
          <w:kern w:val="0"/>
          <w:szCs w:val="24"/>
        </w:rPr>
        <w:t>，則接下來他會如何調整消費行為？</w:t>
      </w:r>
      <w:r>
        <w:rPr>
          <w:rFonts w:hint="eastAsia" w:ascii="標楷體" w:hAnsi="標楷體" w:eastAsia="標楷體" w:cs="標楷體"/>
          <w:kern w:val="0"/>
          <w:szCs w:val="24"/>
        </w:rPr>
        <w:t xml:space="preserve"> (c)</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增加鹹酥雞的消費量，同時減少可樂的消費量</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同時增加鹹酥雞與可樂消費量</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減少鹹酥雞消費量，同時增加可樂消費量</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此時已是最適，不會再做調整</w:t>
      </w:r>
      <w:r>
        <w:rPr>
          <w:rFonts w:hint="eastAsia" w:ascii="標楷體" w:hAnsi="標楷體" w:eastAsia="標楷體" w:cs="標楷體"/>
          <w:color w:val="000000"/>
          <w:kern w:val="0"/>
          <w:szCs w:val="24"/>
        </w:rPr>
        <w:t xml:space="preserve">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(105 </w:t>
      </w:r>
      <w:r>
        <w:rPr>
          <w:rFonts w:hint="eastAsia" w:ascii="標楷體" w:hAnsi="標楷體" w:eastAsia="標楷體" w:cs="標楷體"/>
          <w:color w:val="000000"/>
          <w:kern w:val="0"/>
          <w:szCs w:val="24"/>
        </w:rPr>
        <w:t>年關務人員特考</w:t>
      </w:r>
      <w:r>
        <w:rPr>
          <w:rFonts w:hint="eastAsia" w:ascii="標楷體" w:hAnsi="標楷體" w:eastAsia="標楷體" w:cs="標楷體"/>
          <w:color w:val="000000"/>
          <w:kern w:val="0"/>
          <w:szCs w:val="24"/>
        </w:rPr>
        <w:t>)</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下列有關經濟成本</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(economic costs) </w:t>
      </w:r>
      <w:r>
        <w:rPr>
          <w:rFonts w:hint="eastAsia" w:ascii="標楷體" w:hAnsi="標楷體" w:eastAsia="標楷體" w:cs="標楷體"/>
          <w:color w:val="000000"/>
          <w:kern w:val="0"/>
          <w:szCs w:val="24"/>
        </w:rPr>
        <w:t>的敘述，何者錯誤？</w:t>
      </w:r>
      <w:r>
        <w:rPr>
          <w:rFonts w:hint="eastAsia" w:ascii="標楷體" w:hAnsi="標楷體" w:eastAsia="標楷體" w:cs="標楷體"/>
          <w:kern w:val="0"/>
          <w:szCs w:val="24"/>
        </w:rPr>
        <w:t xml:space="preserve"> (d)</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包括外顯成本與隱含成本</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可以貨幣單位或貨幣數量衡量</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某一資源的使用具經濟成本係因其稀少具有多種用途</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一般符合邊際成本遞減法則</w:t>
      </w:r>
      <w:r>
        <w:rPr>
          <w:rFonts w:hint="eastAsia" w:ascii="標楷體" w:hAnsi="標楷體" w:eastAsia="標楷體" w:cs="標楷體"/>
          <w:color w:val="000000"/>
          <w:kern w:val="0"/>
          <w:szCs w:val="24"/>
        </w:rPr>
        <w:t xml:space="preserve">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(105 </w:t>
      </w:r>
      <w:r>
        <w:rPr>
          <w:rFonts w:hint="eastAsia" w:ascii="標楷體" w:hAnsi="標楷體" w:eastAsia="標楷體" w:cs="標楷體"/>
          <w:color w:val="000000"/>
          <w:kern w:val="0"/>
          <w:szCs w:val="24"/>
        </w:rPr>
        <w:t>年國際經濟商務人員特考</w:t>
      </w:r>
      <w:r>
        <w:rPr>
          <w:rFonts w:hint="eastAsia" w:ascii="標楷體" w:hAnsi="標楷體" w:eastAsia="標楷體" w:cs="標楷體"/>
          <w:color w:val="000000"/>
          <w:kern w:val="0"/>
          <w:szCs w:val="24"/>
        </w:rPr>
        <w:t>)</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下列敘述何者錯誤？</w:t>
      </w:r>
      <w:r>
        <w:rPr>
          <w:rFonts w:hint="eastAsia" w:ascii="標楷體" w:hAnsi="標楷體" w:eastAsia="標楷體" w:cs="標楷體"/>
          <w:kern w:val="0"/>
          <w:szCs w:val="24"/>
        </w:rPr>
        <w:t xml:space="preserve"> (d)</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廠商可以有會計利潤與經濟利潤</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廠商可以有會計利潤與經濟損失</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廠商可以有會計損失與經濟損失</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廠商可以有會計損失與經濟利潤</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下列何者是隱含成本的例子？</w:t>
      </w:r>
      <w:r>
        <w:rPr>
          <w:rFonts w:hint="eastAsia" w:ascii="標楷體" w:hAnsi="標楷體" w:eastAsia="標楷體" w:cs="標楷體"/>
          <w:kern w:val="0"/>
          <w:szCs w:val="24"/>
        </w:rPr>
        <w:t xml:space="preserve"> (b)</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部分工時勞工的薪水</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自營業者若替別人工作所獲得的薪資</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企業貸款支付的利息</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現在購買原料而在稍後使用的成本</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(e) </w:t>
      </w:r>
      <w:r>
        <w:rPr>
          <w:rFonts w:hint="eastAsia" w:ascii="標楷體" w:hAnsi="標楷體" w:eastAsia="標楷體" w:cs="標楷體"/>
          <w:color w:val="000000"/>
          <w:kern w:val="0"/>
          <w:szCs w:val="24"/>
        </w:rPr>
        <w:t>以上皆是</w:t>
      </w:r>
    </w:p>
    <w:p>
      <w:pPr>
        <w:numPr>
          <w:ilvl w:val="0"/>
          <w:numId w:val="1"/>
        </w:numPr>
        <w:autoSpaceDE w:val="0"/>
        <w:autoSpaceDN w:val="0"/>
        <w:adjustRightInd w:val="0"/>
        <w:ind w:left="425" w:leftChars="0" w:hanging="425" w:firstLineChars="0"/>
        <w:rPr>
          <w:rFonts w:hint="eastAsia" w:ascii="標楷體" w:hAnsi="標楷體" w:eastAsia="標楷體" w:cs="標楷體"/>
          <w:kern w:val="0"/>
          <w:szCs w:val="24"/>
        </w:rPr>
      </w:pPr>
      <w:r>
        <w:rPr>
          <w:rFonts w:hint="eastAsia" w:ascii="標楷體" w:hAnsi="標楷體" w:eastAsia="標楷體" w:cs="標楷體"/>
          <w:color w:val="000000"/>
          <w:kern w:val="0"/>
          <w:szCs w:val="24"/>
        </w:rPr>
        <w:t>下列何者不是生產因素？</w:t>
      </w:r>
      <w:r>
        <w:rPr>
          <w:rFonts w:hint="eastAsia" w:ascii="標楷體" w:hAnsi="標楷體" w:eastAsia="標楷體" w:cs="標楷體"/>
          <w:kern w:val="0"/>
          <w:szCs w:val="24"/>
        </w:rPr>
        <w:t xml:space="preserve">  (d)</w:t>
      </w:r>
      <w:r>
        <w:rPr>
          <w:rFonts w:hint="eastAsia" w:ascii="標楷體" w:hAnsi="標楷體" w:eastAsia="標楷體" w:cs="標楷體"/>
          <w:kern w:val="0"/>
          <w:szCs w:val="24"/>
        </w:rPr>
        <w:t xml:space="preserve">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生產鋼鐵的中鋼員工</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用來生產木桌的木材</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生產鋼鐵的鐵礦</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中鋼的股票</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(e) </w:t>
      </w:r>
      <w:r>
        <w:rPr>
          <w:rFonts w:hint="eastAsia" w:ascii="標楷體" w:hAnsi="標楷體" w:eastAsia="標楷體" w:cs="標楷體"/>
          <w:color w:val="000000"/>
          <w:kern w:val="0"/>
          <w:szCs w:val="24"/>
        </w:rPr>
        <w:t>以上皆是</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書豪逛夜市吃了</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3 </w:t>
      </w:r>
      <w:r>
        <w:rPr>
          <w:rFonts w:hint="eastAsia" w:ascii="標楷體" w:hAnsi="標楷體" w:eastAsia="標楷體" w:cs="標楷體"/>
          <w:color w:val="000000"/>
          <w:kern w:val="0"/>
          <w:szCs w:val="24"/>
        </w:rPr>
        <w:t>個小酥餅和喝了</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2 </w:t>
      </w:r>
      <w:r>
        <w:rPr>
          <w:rFonts w:hint="eastAsia" w:ascii="標楷體" w:hAnsi="標楷體" w:eastAsia="標楷體" w:cs="標楷體"/>
          <w:color w:val="000000"/>
          <w:kern w:val="0"/>
          <w:szCs w:val="24"/>
        </w:rPr>
        <w:t>杯珍珠奶茶而達到最大效用。書豪消費第</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1 </w:t>
      </w:r>
      <w:r>
        <w:rPr>
          <w:rFonts w:hint="eastAsia" w:ascii="標楷體" w:hAnsi="標楷體" w:eastAsia="標楷體" w:cs="標楷體"/>
          <w:color w:val="000000"/>
          <w:kern w:val="0"/>
          <w:szCs w:val="24"/>
        </w:rPr>
        <w:t>杯和第</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2 </w:t>
      </w:r>
      <w:r>
        <w:rPr>
          <w:rFonts w:hint="eastAsia" w:ascii="標楷體" w:hAnsi="標楷體" w:eastAsia="標楷體" w:cs="標楷體"/>
          <w:color w:val="000000"/>
          <w:kern w:val="0"/>
          <w:szCs w:val="24"/>
        </w:rPr>
        <w:t>杯珍奶的邊際效用分別為</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50 </w:t>
      </w:r>
      <w:r>
        <w:rPr>
          <w:rFonts w:hint="eastAsia" w:ascii="標楷體" w:hAnsi="標楷體" w:eastAsia="標楷體" w:cs="標楷體"/>
          <w:color w:val="000000"/>
          <w:kern w:val="0"/>
          <w:szCs w:val="24"/>
        </w:rPr>
        <w:t>單位和</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20 </w:t>
      </w:r>
      <w:r>
        <w:rPr>
          <w:rFonts w:hint="eastAsia" w:ascii="標楷體" w:hAnsi="標楷體" w:eastAsia="標楷體" w:cs="標楷體"/>
          <w:color w:val="000000"/>
          <w:kern w:val="0"/>
          <w:szCs w:val="24"/>
        </w:rPr>
        <w:t>單位。吃第</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1</w:t>
      </w:r>
      <w:r>
        <w:rPr>
          <w:rFonts w:hint="eastAsia" w:ascii="標楷體" w:hAnsi="標楷體" w:eastAsia="標楷體" w:cs="標楷體"/>
          <w:color w:val="000000"/>
          <w:kern w:val="0"/>
          <w:szCs w:val="24"/>
        </w:rPr>
        <w:t>個和第</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2 </w:t>
      </w:r>
      <w:r>
        <w:rPr>
          <w:rFonts w:hint="eastAsia" w:ascii="標楷體" w:hAnsi="標楷體" w:eastAsia="標楷體" w:cs="標楷體"/>
          <w:color w:val="000000"/>
          <w:kern w:val="0"/>
          <w:szCs w:val="24"/>
        </w:rPr>
        <w:t>個小酥餅的邊際效用分別為</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20 </w:t>
      </w:r>
      <w:r>
        <w:rPr>
          <w:rFonts w:hint="eastAsia" w:ascii="標楷體" w:hAnsi="標楷體" w:eastAsia="標楷體" w:cs="標楷體"/>
          <w:color w:val="000000"/>
          <w:kern w:val="0"/>
          <w:szCs w:val="24"/>
        </w:rPr>
        <w:t>與</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15 </w:t>
      </w:r>
      <w:r>
        <w:rPr>
          <w:rFonts w:hint="eastAsia" w:ascii="標楷體" w:hAnsi="標楷體" w:eastAsia="標楷體" w:cs="標楷體"/>
          <w:color w:val="000000"/>
          <w:kern w:val="0"/>
          <w:szCs w:val="24"/>
        </w:rPr>
        <w:t>單位。</w:t>
      </w:r>
      <w:r>
        <w:rPr>
          <w:rFonts w:hint="eastAsia" w:ascii="標楷體" w:hAnsi="標楷體" w:eastAsia="標楷體" w:cs="標楷體"/>
          <w:color w:val="000000"/>
          <w:kern w:val="0"/>
          <w:szCs w:val="24"/>
        </w:rPr>
        <w:t xml:space="preserve">1 </w:t>
      </w:r>
      <w:r>
        <w:rPr>
          <w:rFonts w:hint="eastAsia" w:ascii="標楷體" w:hAnsi="標楷體" w:eastAsia="標楷體" w:cs="標楷體"/>
          <w:color w:val="000000"/>
          <w:kern w:val="0"/>
          <w:szCs w:val="24"/>
        </w:rPr>
        <w:t>個小酥餅價格是</w:t>
      </w:r>
      <w:r>
        <w:rPr>
          <w:rFonts w:hint="eastAsia" w:ascii="標楷體" w:hAnsi="標楷體" w:eastAsia="標楷體" w:cs="標楷體"/>
          <w:color w:val="000000"/>
          <w:kern w:val="0"/>
          <w:szCs w:val="24"/>
        </w:rPr>
        <w:t xml:space="preserve">20 </w:t>
      </w:r>
      <w:r>
        <w:rPr>
          <w:rFonts w:hint="eastAsia" w:ascii="標楷體" w:hAnsi="標楷體" w:eastAsia="標楷體" w:cs="標楷體"/>
          <w:color w:val="000000"/>
          <w:kern w:val="0"/>
          <w:szCs w:val="24"/>
        </w:rPr>
        <w:t>元，</w:t>
      </w:r>
      <w:r>
        <w:rPr>
          <w:rFonts w:hint="eastAsia" w:ascii="標楷體" w:hAnsi="標楷體" w:eastAsia="標楷體" w:cs="標楷體"/>
          <w:color w:val="000000"/>
          <w:kern w:val="0"/>
          <w:szCs w:val="24"/>
        </w:rPr>
        <w:t xml:space="preserve">1 </w:t>
      </w:r>
      <w:r>
        <w:rPr>
          <w:rFonts w:hint="eastAsia" w:ascii="標楷體" w:hAnsi="標楷體" w:eastAsia="標楷體" w:cs="標楷體"/>
          <w:color w:val="000000"/>
          <w:kern w:val="0"/>
          <w:szCs w:val="24"/>
        </w:rPr>
        <w:t>杯珍奶是</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40 </w:t>
      </w:r>
      <w:r>
        <w:rPr>
          <w:rFonts w:hint="eastAsia" w:ascii="標楷體" w:hAnsi="標楷體" w:eastAsia="標楷體" w:cs="標楷體"/>
          <w:color w:val="000000"/>
          <w:kern w:val="0"/>
          <w:szCs w:val="24"/>
        </w:rPr>
        <w:t>元。請問第</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3 </w:t>
      </w:r>
      <w:r>
        <w:rPr>
          <w:rFonts w:hint="eastAsia" w:ascii="標楷體" w:hAnsi="標楷體" w:eastAsia="標楷體" w:cs="標楷體"/>
          <w:color w:val="000000"/>
          <w:kern w:val="0"/>
          <w:szCs w:val="24"/>
        </w:rPr>
        <w:t>個小酥餅的邊際效用為何？</w:t>
      </w:r>
      <w:r>
        <w:rPr>
          <w:rFonts w:hint="eastAsia" w:ascii="標楷體" w:hAnsi="標楷體" w:eastAsia="標楷體" w:cs="標楷體"/>
          <w:kern w:val="0"/>
          <w:szCs w:val="24"/>
        </w:rPr>
        <w:t>(d)</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(a) 25</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(b) 15</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(c) 20</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10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(100 </w:t>
      </w:r>
      <w:r>
        <w:rPr>
          <w:rFonts w:hint="eastAsia" w:ascii="標楷體" w:hAnsi="標楷體" w:eastAsia="標楷體" w:cs="標楷體"/>
          <w:color w:val="000000"/>
          <w:kern w:val="0"/>
          <w:szCs w:val="24"/>
        </w:rPr>
        <w:t>年初等考試</w:t>
      </w:r>
      <w:r>
        <w:rPr>
          <w:rFonts w:hint="eastAsia" w:ascii="標楷體" w:hAnsi="標楷體" w:eastAsia="標楷體" w:cs="標楷體"/>
          <w:color w:val="000000"/>
          <w:kern w:val="0"/>
          <w:szCs w:val="24"/>
        </w:rPr>
        <w:t>)</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下表是樂陞勞動雇用量與總產量之關係，下列敘述何者正確？</w:t>
      </w:r>
      <w:r>
        <w:rPr>
          <w:rFonts w:hint="eastAsia" w:ascii="標楷體" w:hAnsi="標楷體" w:eastAsia="標楷體" w:cs="標楷體"/>
          <w:kern w:val="0"/>
          <w:szCs w:val="24"/>
        </w:rPr>
        <w:t xml:space="preserve"> (b)</w:t>
      </w:r>
    </w:p>
    <w:p>
      <w:pPr>
        <w:pStyle w:val="3"/>
        <w:kinsoku w:val="0"/>
        <w:overflowPunct w:val="0"/>
        <w:spacing w:before="12"/>
        <w:ind w:left="0"/>
        <w:rPr>
          <w:rFonts w:hint="eastAsia" w:ascii="標楷體" w:hAnsi="標楷體" w:eastAsia="標楷體" w:cs="標楷體"/>
          <w:sz w:val="14"/>
          <w:szCs w:val="14"/>
        </w:rPr>
      </w:pPr>
    </w:p>
    <w:tbl>
      <w:tblPr>
        <w:tblStyle w:val="6"/>
        <w:tblW w:w="7370" w:type="dxa"/>
        <w:tblInd w:w="880" w:type="dxa"/>
        <w:tblLayout w:type="fixed"/>
        <w:tblCellMar>
          <w:top w:w="0" w:type="dxa"/>
          <w:left w:w="0" w:type="dxa"/>
          <w:bottom w:w="0" w:type="dxa"/>
          <w:right w:w="0" w:type="dxa"/>
        </w:tblCellMar>
      </w:tblPr>
      <w:tblGrid>
        <w:gridCol w:w="1360"/>
        <w:gridCol w:w="737"/>
        <w:gridCol w:w="652"/>
        <w:gridCol w:w="652"/>
        <w:gridCol w:w="652"/>
        <w:gridCol w:w="652"/>
        <w:gridCol w:w="652"/>
        <w:gridCol w:w="1375"/>
        <w:gridCol w:w="638"/>
      </w:tblGrid>
      <w:tr>
        <w:tblPrEx>
          <w:tblLayout w:type="fixed"/>
          <w:tblCellMar>
            <w:top w:w="0" w:type="dxa"/>
            <w:left w:w="0" w:type="dxa"/>
            <w:bottom w:w="0" w:type="dxa"/>
            <w:right w:w="0" w:type="dxa"/>
          </w:tblCellMar>
        </w:tblPrEx>
        <w:trPr>
          <w:trHeight w:val="340" w:hRule="exact"/>
        </w:trPr>
        <w:tc>
          <w:tcPr>
            <w:tcW w:w="1360" w:type="dxa"/>
            <w:tcBorders>
              <w:top w:val="nil"/>
              <w:left w:val="nil"/>
              <w:bottom w:val="nil"/>
              <w:right w:val="nil"/>
            </w:tcBorders>
            <w:shd w:val="clear" w:color="auto" w:fill="E2A48E"/>
          </w:tcPr>
          <w:p>
            <w:pPr>
              <w:pStyle w:val="8"/>
              <w:numPr>
                <w:ilvl w:val="0"/>
                <w:numId w:val="0"/>
              </w:numPr>
              <w:kinsoku w:val="0"/>
              <w:overflowPunct w:val="0"/>
              <w:spacing w:line="296" w:lineRule="exact"/>
              <w:ind w:leftChars="0"/>
              <w:rPr>
                <w:rFonts w:hint="eastAsia" w:ascii="標楷體" w:hAnsi="標楷體" w:eastAsia="標楷體" w:cs="標楷體"/>
              </w:rPr>
            </w:pPr>
            <w:r>
              <w:rPr>
                <w:rFonts w:hint="eastAsia" w:ascii="標楷體" w:hAnsi="標楷體" w:eastAsia="標楷體" w:cs="標楷體"/>
                <w:color w:val="231F20"/>
                <w:sz w:val="20"/>
                <w:szCs w:val="20"/>
              </w:rPr>
              <w:t>勞動雇用量</w:t>
            </w:r>
          </w:p>
        </w:tc>
        <w:tc>
          <w:tcPr>
            <w:tcW w:w="737" w:type="dxa"/>
            <w:tcBorders>
              <w:top w:val="nil"/>
              <w:left w:val="nil"/>
              <w:bottom w:val="nil"/>
              <w:right w:val="nil"/>
            </w:tcBorders>
            <w:shd w:val="clear" w:color="auto" w:fill="E4C0B8"/>
          </w:tcPr>
          <w:p>
            <w:pPr>
              <w:pStyle w:val="8"/>
              <w:numPr>
                <w:ilvl w:val="0"/>
                <w:numId w:val="0"/>
              </w:numPr>
              <w:kinsoku w:val="0"/>
              <w:overflowPunct w:val="0"/>
              <w:spacing w:before="55"/>
              <w:ind w:leftChars="0"/>
              <w:rPr>
                <w:rFonts w:hint="eastAsia" w:ascii="標楷體" w:hAnsi="標楷體" w:eastAsia="標楷體" w:cs="標楷體"/>
              </w:rPr>
            </w:pPr>
            <w:r>
              <w:rPr>
                <w:rFonts w:hint="eastAsia" w:ascii="標楷體" w:hAnsi="標楷體" w:eastAsia="標楷體" w:cs="標楷體"/>
                <w:color w:val="231F20"/>
                <w:sz w:val="20"/>
                <w:szCs w:val="20"/>
              </w:rPr>
              <w:t>1</w:t>
            </w:r>
          </w:p>
        </w:tc>
        <w:tc>
          <w:tcPr>
            <w:tcW w:w="652" w:type="dxa"/>
            <w:tcBorders>
              <w:top w:val="nil"/>
              <w:left w:val="nil"/>
              <w:bottom w:val="nil"/>
              <w:right w:val="nil"/>
            </w:tcBorders>
            <w:shd w:val="clear" w:color="auto" w:fill="E4C0B8"/>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2</w:t>
            </w:r>
          </w:p>
        </w:tc>
        <w:tc>
          <w:tcPr>
            <w:tcW w:w="652" w:type="dxa"/>
            <w:tcBorders>
              <w:top w:val="nil"/>
              <w:left w:val="nil"/>
              <w:bottom w:val="nil"/>
              <w:right w:val="nil"/>
            </w:tcBorders>
            <w:shd w:val="clear" w:color="auto" w:fill="E4C0B8"/>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3</w:t>
            </w:r>
          </w:p>
        </w:tc>
        <w:tc>
          <w:tcPr>
            <w:tcW w:w="652" w:type="dxa"/>
            <w:tcBorders>
              <w:top w:val="nil"/>
              <w:left w:val="nil"/>
              <w:bottom w:val="nil"/>
              <w:right w:val="nil"/>
            </w:tcBorders>
            <w:shd w:val="clear" w:color="auto" w:fill="E4C0B8"/>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4</w:t>
            </w:r>
          </w:p>
        </w:tc>
        <w:tc>
          <w:tcPr>
            <w:tcW w:w="652" w:type="dxa"/>
            <w:tcBorders>
              <w:top w:val="nil"/>
              <w:left w:val="nil"/>
              <w:bottom w:val="nil"/>
              <w:right w:val="nil"/>
            </w:tcBorders>
            <w:shd w:val="clear" w:color="auto" w:fill="E4C0B8"/>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5</w:t>
            </w:r>
          </w:p>
        </w:tc>
        <w:tc>
          <w:tcPr>
            <w:tcW w:w="652" w:type="dxa"/>
            <w:tcBorders>
              <w:top w:val="nil"/>
              <w:left w:val="nil"/>
              <w:bottom w:val="nil"/>
              <w:right w:val="nil"/>
            </w:tcBorders>
            <w:shd w:val="clear" w:color="auto" w:fill="E4C0B8"/>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6</w:t>
            </w:r>
          </w:p>
        </w:tc>
        <w:tc>
          <w:tcPr>
            <w:tcW w:w="1375" w:type="dxa"/>
            <w:tcBorders>
              <w:top w:val="nil"/>
              <w:left w:val="nil"/>
              <w:bottom w:val="nil"/>
              <w:right w:val="nil"/>
            </w:tcBorders>
            <w:shd w:val="clear" w:color="auto" w:fill="E4C0B8"/>
          </w:tcPr>
          <w:p>
            <w:pPr>
              <w:pStyle w:val="8"/>
              <w:numPr>
                <w:ilvl w:val="0"/>
                <w:numId w:val="0"/>
              </w:numPr>
              <w:tabs>
                <w:tab w:val="left" w:pos="1062"/>
              </w:tabs>
              <w:kinsoku w:val="0"/>
              <w:overflowPunct w:val="0"/>
              <w:spacing w:before="55"/>
              <w:ind w:leftChars="0"/>
              <w:rPr>
                <w:rFonts w:hint="eastAsia" w:ascii="標楷體" w:hAnsi="標楷體" w:eastAsia="標楷體" w:cs="標楷體"/>
                <w:lang w:val="en-US" w:eastAsia="zh-CN"/>
              </w:rPr>
            </w:pPr>
            <w:r>
              <w:rPr>
                <w:rFonts w:hint="eastAsia" w:ascii="標楷體" w:hAnsi="標楷體" w:eastAsia="標楷體" w:cs="標楷體"/>
                <w:color w:val="231F20"/>
                <w:sz w:val="20"/>
                <w:szCs w:val="20"/>
              </w:rPr>
              <w:t>7</w:t>
            </w:r>
            <w:r>
              <w:rPr>
                <w:rFonts w:hint="eastAsia" w:ascii="標楷體" w:hAnsi="標楷體" w:eastAsia="標楷體" w:cs="標楷體"/>
                <w:color w:val="231F20"/>
                <w:sz w:val="20"/>
                <w:szCs w:val="20"/>
                <w:lang w:val="en-US" w:eastAsia="zh-CN"/>
              </w:rPr>
              <w:t xml:space="preserve">      </w:t>
            </w:r>
            <w:r>
              <w:rPr>
                <w:rFonts w:hint="eastAsia" w:ascii="標楷體" w:hAnsi="標楷體" w:eastAsia="標楷體" w:cs="標楷體"/>
                <w:color w:val="231F20"/>
                <w:sz w:val="20"/>
                <w:szCs w:val="20"/>
              </w:rPr>
              <w:t>8</w:t>
            </w:r>
            <w:r>
              <w:rPr>
                <w:rFonts w:hint="eastAsia" w:ascii="標楷體" w:hAnsi="標楷體" w:eastAsia="標楷體" w:cs="標楷體"/>
                <w:color w:val="231F20"/>
                <w:sz w:val="20"/>
                <w:szCs w:val="20"/>
                <w:lang w:val="en-US" w:eastAsia="zh-CN"/>
              </w:rPr>
              <w:t xml:space="preserve"> </w:t>
            </w:r>
          </w:p>
        </w:tc>
        <w:tc>
          <w:tcPr>
            <w:tcW w:w="638" w:type="dxa"/>
            <w:tcBorders>
              <w:top w:val="nil"/>
              <w:left w:val="nil"/>
              <w:bottom w:val="nil"/>
              <w:right w:val="nil"/>
            </w:tcBorders>
            <w:shd w:val="clear" w:color="auto" w:fill="E4C0B8"/>
          </w:tcPr>
          <w:p>
            <w:pPr>
              <w:pStyle w:val="8"/>
              <w:numPr>
                <w:ilvl w:val="0"/>
                <w:numId w:val="0"/>
              </w:numPr>
              <w:kinsoku w:val="0"/>
              <w:overflowPunct w:val="0"/>
              <w:spacing w:before="55"/>
              <w:ind w:leftChars="0"/>
              <w:rPr>
                <w:rFonts w:hint="eastAsia" w:ascii="標楷體" w:hAnsi="標楷體" w:eastAsia="標楷體" w:cs="標楷體"/>
              </w:rPr>
            </w:pPr>
            <w:r>
              <w:rPr>
                <w:rFonts w:hint="eastAsia" w:ascii="標楷體" w:hAnsi="標楷體" w:eastAsia="標楷體" w:cs="標楷體"/>
                <w:color w:val="231F20"/>
                <w:sz w:val="20"/>
                <w:szCs w:val="20"/>
              </w:rPr>
              <w:t>9</w:t>
            </w:r>
          </w:p>
        </w:tc>
      </w:tr>
      <w:tr>
        <w:tblPrEx>
          <w:tblLayout w:type="fixed"/>
          <w:tblCellMar>
            <w:top w:w="0" w:type="dxa"/>
            <w:left w:w="0" w:type="dxa"/>
            <w:bottom w:w="0" w:type="dxa"/>
            <w:right w:w="0" w:type="dxa"/>
          </w:tblCellMar>
        </w:tblPrEx>
        <w:trPr>
          <w:trHeight w:val="340" w:hRule="exact"/>
        </w:trPr>
        <w:tc>
          <w:tcPr>
            <w:tcW w:w="1360" w:type="dxa"/>
            <w:tcBorders>
              <w:top w:val="nil"/>
              <w:left w:val="nil"/>
              <w:bottom w:val="nil"/>
              <w:right w:val="nil"/>
            </w:tcBorders>
            <w:shd w:val="clear" w:color="auto" w:fill="E2A48E"/>
          </w:tcPr>
          <w:p>
            <w:pPr>
              <w:pStyle w:val="8"/>
              <w:numPr>
                <w:ilvl w:val="0"/>
                <w:numId w:val="0"/>
              </w:numPr>
              <w:kinsoku w:val="0"/>
              <w:overflowPunct w:val="0"/>
              <w:spacing w:line="296" w:lineRule="exact"/>
              <w:ind w:leftChars="0"/>
              <w:rPr>
                <w:rFonts w:hint="eastAsia" w:ascii="標楷體" w:hAnsi="標楷體" w:eastAsia="標楷體" w:cs="標楷體"/>
              </w:rPr>
            </w:pPr>
            <w:r>
              <w:rPr>
                <w:rFonts w:hint="eastAsia" w:ascii="標楷體" w:hAnsi="標楷體" w:eastAsia="標楷體" w:cs="標楷體"/>
                <w:color w:val="231F20"/>
                <w:sz w:val="20"/>
                <w:szCs w:val="20"/>
              </w:rPr>
              <w:t>總產量</w:t>
            </w:r>
          </w:p>
        </w:tc>
        <w:tc>
          <w:tcPr>
            <w:tcW w:w="737" w:type="dxa"/>
            <w:tcBorders>
              <w:top w:val="nil"/>
              <w:left w:val="nil"/>
              <w:bottom w:val="nil"/>
              <w:right w:val="nil"/>
            </w:tcBorders>
            <w:shd w:val="clear" w:color="auto" w:fill="EED6D0"/>
          </w:tcPr>
          <w:p>
            <w:pPr>
              <w:pStyle w:val="8"/>
              <w:numPr>
                <w:ilvl w:val="0"/>
                <w:numId w:val="0"/>
              </w:numPr>
              <w:kinsoku w:val="0"/>
              <w:overflowPunct w:val="0"/>
              <w:spacing w:before="55"/>
              <w:ind w:leftChars="0"/>
              <w:rPr>
                <w:rFonts w:hint="eastAsia" w:ascii="標楷體" w:hAnsi="標楷體" w:eastAsia="標楷體" w:cs="標楷體"/>
              </w:rPr>
            </w:pPr>
            <w:r>
              <w:rPr>
                <w:rFonts w:hint="eastAsia" w:ascii="標楷體" w:hAnsi="標楷體" w:eastAsia="標楷體" w:cs="標楷體"/>
                <w:color w:val="231F20"/>
                <w:sz w:val="20"/>
                <w:szCs w:val="20"/>
              </w:rPr>
              <w:t>8</w:t>
            </w:r>
          </w:p>
        </w:tc>
        <w:tc>
          <w:tcPr>
            <w:tcW w:w="652" w:type="dxa"/>
            <w:tcBorders>
              <w:top w:val="nil"/>
              <w:left w:val="nil"/>
              <w:bottom w:val="nil"/>
              <w:right w:val="nil"/>
            </w:tcBorders>
            <w:shd w:val="clear" w:color="auto" w:fill="EED6D0"/>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26</w:t>
            </w:r>
          </w:p>
        </w:tc>
        <w:tc>
          <w:tcPr>
            <w:tcW w:w="652" w:type="dxa"/>
            <w:tcBorders>
              <w:top w:val="nil"/>
              <w:left w:val="nil"/>
              <w:bottom w:val="nil"/>
              <w:right w:val="nil"/>
            </w:tcBorders>
            <w:shd w:val="clear" w:color="auto" w:fill="EED6D0"/>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42</w:t>
            </w:r>
          </w:p>
        </w:tc>
        <w:tc>
          <w:tcPr>
            <w:tcW w:w="652" w:type="dxa"/>
            <w:tcBorders>
              <w:top w:val="nil"/>
              <w:left w:val="nil"/>
              <w:bottom w:val="nil"/>
              <w:right w:val="nil"/>
            </w:tcBorders>
            <w:shd w:val="clear" w:color="auto" w:fill="EED6D0"/>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57</w:t>
            </w:r>
          </w:p>
        </w:tc>
        <w:tc>
          <w:tcPr>
            <w:tcW w:w="652" w:type="dxa"/>
            <w:tcBorders>
              <w:top w:val="nil"/>
              <w:left w:val="nil"/>
              <w:bottom w:val="nil"/>
              <w:right w:val="nil"/>
            </w:tcBorders>
            <w:shd w:val="clear" w:color="auto" w:fill="EED6D0"/>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70</w:t>
            </w:r>
          </w:p>
        </w:tc>
        <w:tc>
          <w:tcPr>
            <w:tcW w:w="652" w:type="dxa"/>
            <w:tcBorders>
              <w:top w:val="nil"/>
              <w:left w:val="nil"/>
              <w:bottom w:val="nil"/>
              <w:right w:val="nil"/>
            </w:tcBorders>
            <w:shd w:val="clear" w:color="auto" w:fill="EED6D0"/>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82</w:t>
            </w:r>
          </w:p>
        </w:tc>
        <w:tc>
          <w:tcPr>
            <w:tcW w:w="1375" w:type="dxa"/>
            <w:tcBorders>
              <w:top w:val="nil"/>
              <w:left w:val="nil"/>
              <w:bottom w:val="nil"/>
              <w:right w:val="nil"/>
            </w:tcBorders>
            <w:shd w:val="clear" w:color="auto" w:fill="EED6D0"/>
          </w:tcPr>
          <w:p>
            <w:pPr>
              <w:pStyle w:val="8"/>
              <w:numPr>
                <w:ilvl w:val="0"/>
                <w:numId w:val="0"/>
              </w:numPr>
              <w:tabs>
                <w:tab w:val="left" w:pos="862"/>
              </w:tabs>
              <w:kinsoku w:val="0"/>
              <w:overflowPunct w:val="0"/>
              <w:spacing w:before="55"/>
              <w:ind w:leftChars="0"/>
              <w:rPr>
                <w:rFonts w:hint="eastAsia" w:ascii="標楷體" w:hAnsi="標楷體" w:eastAsia="標楷體" w:cs="標楷體"/>
              </w:rPr>
            </w:pPr>
            <w:r>
              <w:rPr>
                <w:rFonts w:hint="eastAsia" w:ascii="標楷體" w:hAnsi="標楷體" w:eastAsia="標楷體" w:cs="標楷體"/>
                <w:color w:val="231F20"/>
                <w:sz w:val="20"/>
                <w:szCs w:val="20"/>
              </w:rPr>
              <w:t>92</w:t>
            </w:r>
            <w:r>
              <w:rPr>
                <w:rFonts w:hint="eastAsia" w:ascii="標楷體" w:hAnsi="標楷體" w:eastAsia="標楷體" w:cs="標楷體"/>
                <w:color w:val="231F20"/>
                <w:sz w:val="20"/>
                <w:szCs w:val="20"/>
                <w:lang w:val="en-US" w:eastAsia="zh-CN"/>
              </w:rPr>
              <w:t xml:space="preserve">    </w:t>
            </w:r>
            <w:r>
              <w:rPr>
                <w:rFonts w:hint="eastAsia" w:ascii="標楷體" w:hAnsi="標楷體" w:eastAsia="標楷體" w:cs="標楷體"/>
                <w:color w:val="231F20"/>
                <w:sz w:val="20"/>
                <w:szCs w:val="20"/>
              </w:rPr>
              <w:t>100</w:t>
            </w:r>
          </w:p>
        </w:tc>
        <w:tc>
          <w:tcPr>
            <w:tcW w:w="638" w:type="dxa"/>
            <w:tcBorders>
              <w:top w:val="nil"/>
              <w:left w:val="nil"/>
              <w:bottom w:val="nil"/>
              <w:right w:val="nil"/>
            </w:tcBorders>
            <w:shd w:val="clear" w:color="auto" w:fill="EED6D0"/>
          </w:tcPr>
          <w:p>
            <w:pPr>
              <w:pStyle w:val="8"/>
              <w:numPr>
                <w:ilvl w:val="0"/>
                <w:numId w:val="0"/>
              </w:numPr>
              <w:kinsoku w:val="0"/>
              <w:overflowPunct w:val="0"/>
              <w:spacing w:before="55"/>
              <w:ind w:leftChars="0"/>
              <w:rPr>
                <w:rFonts w:hint="eastAsia" w:ascii="標楷體" w:hAnsi="標楷體" w:eastAsia="標楷體" w:cs="標楷體"/>
              </w:rPr>
            </w:pPr>
            <w:r>
              <w:rPr>
                <w:rFonts w:hint="eastAsia" w:ascii="標楷體" w:hAnsi="標楷體" w:eastAsia="標楷體" w:cs="標楷體"/>
                <w:color w:val="231F20"/>
                <w:sz w:val="20"/>
                <w:szCs w:val="20"/>
              </w:rPr>
              <w:t>107</w:t>
            </w:r>
          </w:p>
        </w:tc>
      </w:tr>
    </w:tbl>
    <w:p>
      <w:pPr>
        <w:pStyle w:val="3"/>
        <w:kinsoku w:val="0"/>
        <w:overflowPunct w:val="0"/>
        <w:spacing w:before="9"/>
        <w:ind w:left="0"/>
        <w:rPr>
          <w:rFonts w:hint="eastAsia" w:ascii="標楷體" w:hAnsi="標楷體" w:eastAsia="標楷體" w:cs="標楷體"/>
          <w:sz w:val="10"/>
          <w:szCs w:val="10"/>
        </w:rPr>
      </w:pP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此表資料顯示邊際產量遞減現象，所以是長期生產行為</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此表資料顯示邊際產量遞減現象，所以是短期生產行為</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此表資料並沒有邊際產量遞減現象，所以是長期生產行為</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此表資料並沒有邊際產量遞減現象，所以是短期生產行為</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(105 </w:t>
      </w:r>
      <w:r>
        <w:rPr>
          <w:rFonts w:hint="eastAsia" w:ascii="標楷體" w:hAnsi="標楷體" w:eastAsia="標楷體" w:cs="標楷體"/>
          <w:color w:val="000000"/>
          <w:kern w:val="0"/>
          <w:szCs w:val="24"/>
        </w:rPr>
        <w:t>年金融保險高考</w:t>
      </w:r>
      <w:r>
        <w:rPr>
          <w:rFonts w:hint="eastAsia" w:ascii="標楷體" w:hAnsi="標楷體" w:eastAsia="標楷體" w:cs="標楷體"/>
          <w:color w:val="000000"/>
          <w:kern w:val="0"/>
          <w:szCs w:val="24"/>
        </w:rPr>
        <w:t>)</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下列哪一條成本線不是呈現</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U </w:t>
      </w:r>
      <w:r>
        <w:rPr>
          <w:rFonts w:hint="eastAsia" w:ascii="標楷體" w:hAnsi="標楷體" w:eastAsia="標楷體" w:cs="標楷體"/>
          <w:color w:val="000000"/>
          <w:kern w:val="0"/>
          <w:szCs w:val="24"/>
        </w:rPr>
        <w:t>形特徵？</w:t>
      </w:r>
      <w:r>
        <w:rPr>
          <w:rFonts w:hint="eastAsia" w:ascii="標楷體" w:hAnsi="標楷體" w:eastAsia="標楷體" w:cs="標楷體"/>
          <w:kern w:val="0"/>
          <w:szCs w:val="24"/>
        </w:rPr>
        <w:t xml:space="preserve">  (d)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平均變動成本</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邊際成本</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平均成本</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固定成本</w:t>
      </w:r>
      <w:r>
        <w:rPr>
          <w:rFonts w:hint="eastAsia" w:ascii="標楷體" w:hAnsi="標楷體" w:eastAsia="標楷體" w:cs="標楷體"/>
          <w:color w:val="000000"/>
          <w:kern w:val="0"/>
          <w:szCs w:val="24"/>
        </w:rPr>
        <w:t xml:space="preserve">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(105 </w:t>
      </w:r>
      <w:r>
        <w:rPr>
          <w:rFonts w:hint="eastAsia" w:ascii="標楷體" w:hAnsi="標楷體" w:eastAsia="標楷體" w:cs="標楷體"/>
          <w:color w:val="000000"/>
          <w:kern w:val="0"/>
          <w:szCs w:val="24"/>
        </w:rPr>
        <w:t>年金融保險高考</w:t>
      </w:r>
      <w:r>
        <w:rPr>
          <w:rFonts w:hint="eastAsia" w:ascii="標楷體" w:hAnsi="標楷體" w:eastAsia="標楷體" w:cs="標楷體"/>
          <w:color w:val="000000"/>
          <w:kern w:val="0"/>
          <w:szCs w:val="24"/>
        </w:rPr>
        <w:t>)</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b/>
          <w:bCs/>
          <w:color w:val="B32600"/>
          <w:kern w:val="0"/>
          <w:szCs w:val="24"/>
        </w:rPr>
        <w:t xml:space="preserve"> </w:t>
      </w:r>
      <w:r>
        <w:rPr>
          <w:rFonts w:hint="eastAsia" w:ascii="標楷體" w:hAnsi="標楷體" w:eastAsia="標楷體" w:cs="標楷體"/>
          <w:color w:val="000000"/>
          <w:kern w:val="0"/>
          <w:szCs w:val="24"/>
        </w:rPr>
        <w:t>在各項短期成本中，下列敘述何者正確？</w:t>
      </w:r>
      <w:r>
        <w:rPr>
          <w:rFonts w:hint="eastAsia" w:ascii="標楷體" w:hAnsi="標楷體" w:eastAsia="標楷體" w:cs="標楷體"/>
          <w:kern w:val="0"/>
          <w:szCs w:val="24"/>
        </w:rPr>
        <w:t xml:space="preserve">(c)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只有總固定成本會受到產量影響</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只有總變動成本會受到產量影響</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總成本與總變動成本都會受到產量影響</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總成本與總固定成本都會受到產量影響</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(105 </w:t>
      </w:r>
      <w:r>
        <w:rPr>
          <w:rFonts w:hint="eastAsia" w:ascii="標楷體" w:hAnsi="標楷體" w:eastAsia="標楷體" w:cs="標楷體"/>
          <w:color w:val="000000"/>
          <w:kern w:val="0"/>
          <w:szCs w:val="24"/>
        </w:rPr>
        <w:t>年國際經濟商務人員特考</w:t>
      </w:r>
      <w:r>
        <w:rPr>
          <w:rFonts w:hint="eastAsia" w:ascii="標楷體" w:hAnsi="標楷體" w:eastAsia="標楷體" w:cs="標楷體"/>
          <w:color w:val="000000"/>
          <w:kern w:val="0"/>
          <w:szCs w:val="24"/>
        </w:rPr>
        <w:t>)</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某應考人每天必須用</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6 </w:t>
      </w:r>
      <w:r>
        <w:rPr>
          <w:rFonts w:hint="eastAsia" w:ascii="標楷體" w:hAnsi="標楷體" w:eastAsia="標楷體" w:cs="標楷體"/>
          <w:color w:val="000000"/>
          <w:kern w:val="0"/>
          <w:szCs w:val="24"/>
        </w:rPr>
        <w:t>小時唸國文、英文、經濟學。假設每一科每小時所獲得的邊際效用如下表：</w:t>
      </w:r>
    </w:p>
    <w:p>
      <w:pPr>
        <w:pStyle w:val="3"/>
        <w:kinsoku w:val="0"/>
        <w:overflowPunct w:val="0"/>
        <w:spacing w:before="7"/>
        <w:ind w:left="0"/>
        <w:rPr>
          <w:rFonts w:hint="eastAsia" w:ascii="標楷體" w:hAnsi="標楷體" w:eastAsia="標楷體" w:cs="標楷體"/>
          <w:sz w:val="13"/>
          <w:szCs w:val="13"/>
        </w:rPr>
      </w:pPr>
    </w:p>
    <w:tbl>
      <w:tblPr>
        <w:tblStyle w:val="6"/>
        <w:tblW w:w="7370" w:type="dxa"/>
        <w:tblInd w:w="860" w:type="dxa"/>
        <w:tblLayout w:type="fixed"/>
        <w:tblCellMar>
          <w:top w:w="0" w:type="dxa"/>
          <w:left w:w="0" w:type="dxa"/>
          <w:bottom w:w="0" w:type="dxa"/>
          <w:right w:w="0" w:type="dxa"/>
        </w:tblCellMar>
      </w:tblPr>
      <w:tblGrid>
        <w:gridCol w:w="1587"/>
        <w:gridCol w:w="999"/>
        <w:gridCol w:w="964"/>
        <w:gridCol w:w="963"/>
        <w:gridCol w:w="964"/>
        <w:gridCol w:w="964"/>
        <w:gridCol w:w="929"/>
      </w:tblGrid>
      <w:tr>
        <w:tblPrEx>
          <w:tblLayout w:type="fixed"/>
          <w:tblCellMar>
            <w:top w:w="0" w:type="dxa"/>
            <w:left w:w="0" w:type="dxa"/>
            <w:bottom w:w="0" w:type="dxa"/>
            <w:right w:w="0" w:type="dxa"/>
          </w:tblCellMar>
        </w:tblPrEx>
        <w:trPr>
          <w:trHeight w:val="340" w:hRule="exact"/>
        </w:trPr>
        <w:tc>
          <w:tcPr>
            <w:tcW w:w="1587" w:type="dxa"/>
            <w:tcBorders>
              <w:top w:val="nil"/>
              <w:left w:val="nil"/>
              <w:bottom w:val="nil"/>
              <w:right w:val="nil"/>
            </w:tcBorders>
            <w:shd w:val="clear" w:color="auto" w:fill="E2A48E"/>
          </w:tcPr>
          <w:p>
            <w:pPr>
              <w:pStyle w:val="8"/>
              <w:numPr>
                <w:ilvl w:val="0"/>
                <w:numId w:val="0"/>
              </w:numPr>
              <w:kinsoku w:val="0"/>
              <w:overflowPunct w:val="0"/>
              <w:spacing w:line="296" w:lineRule="exact"/>
              <w:ind w:leftChars="0"/>
              <w:jc w:val="both"/>
              <w:rPr>
                <w:rFonts w:hint="eastAsia" w:ascii="標楷體" w:hAnsi="標楷體" w:eastAsia="標楷體" w:cs="標楷體"/>
              </w:rPr>
            </w:pPr>
            <w:r>
              <w:rPr>
                <w:rFonts w:hint="eastAsia" w:ascii="標楷體" w:hAnsi="標楷體" w:eastAsia="標楷體" w:cs="標楷體"/>
                <w:color w:val="231F20"/>
                <w:sz w:val="20"/>
                <w:szCs w:val="20"/>
              </w:rPr>
              <w:t>小時</w:t>
            </w:r>
          </w:p>
        </w:tc>
        <w:tc>
          <w:tcPr>
            <w:tcW w:w="999" w:type="dxa"/>
            <w:tcBorders>
              <w:top w:val="nil"/>
              <w:left w:val="nil"/>
              <w:bottom w:val="nil"/>
              <w:right w:val="nil"/>
            </w:tcBorders>
            <w:shd w:val="clear" w:color="auto" w:fill="E4C0B8"/>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1</w:t>
            </w:r>
          </w:p>
        </w:tc>
        <w:tc>
          <w:tcPr>
            <w:tcW w:w="964" w:type="dxa"/>
            <w:tcBorders>
              <w:top w:val="nil"/>
              <w:left w:val="nil"/>
              <w:bottom w:val="nil"/>
              <w:right w:val="nil"/>
            </w:tcBorders>
            <w:shd w:val="clear" w:color="auto" w:fill="E4C0B8"/>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2</w:t>
            </w:r>
          </w:p>
        </w:tc>
        <w:tc>
          <w:tcPr>
            <w:tcW w:w="963" w:type="dxa"/>
            <w:tcBorders>
              <w:top w:val="nil"/>
              <w:left w:val="nil"/>
              <w:bottom w:val="nil"/>
              <w:right w:val="nil"/>
            </w:tcBorders>
            <w:shd w:val="clear" w:color="auto" w:fill="E4C0B8"/>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3</w:t>
            </w:r>
          </w:p>
        </w:tc>
        <w:tc>
          <w:tcPr>
            <w:tcW w:w="964" w:type="dxa"/>
            <w:tcBorders>
              <w:top w:val="nil"/>
              <w:left w:val="nil"/>
              <w:bottom w:val="nil"/>
              <w:right w:val="nil"/>
            </w:tcBorders>
            <w:shd w:val="clear" w:color="auto" w:fill="E4C0B8"/>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4</w:t>
            </w:r>
          </w:p>
        </w:tc>
        <w:tc>
          <w:tcPr>
            <w:tcW w:w="964" w:type="dxa"/>
            <w:tcBorders>
              <w:top w:val="nil"/>
              <w:left w:val="nil"/>
              <w:bottom w:val="nil"/>
              <w:right w:val="nil"/>
            </w:tcBorders>
            <w:shd w:val="clear" w:color="auto" w:fill="E4C0B8"/>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5</w:t>
            </w:r>
          </w:p>
        </w:tc>
        <w:tc>
          <w:tcPr>
            <w:tcW w:w="929" w:type="dxa"/>
            <w:tcBorders>
              <w:top w:val="nil"/>
              <w:left w:val="nil"/>
              <w:bottom w:val="nil"/>
              <w:right w:val="nil"/>
            </w:tcBorders>
            <w:shd w:val="clear" w:color="auto" w:fill="E4C0B8"/>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6</w:t>
            </w:r>
          </w:p>
        </w:tc>
      </w:tr>
      <w:tr>
        <w:tblPrEx>
          <w:tblLayout w:type="fixed"/>
          <w:tblCellMar>
            <w:top w:w="0" w:type="dxa"/>
            <w:left w:w="0" w:type="dxa"/>
            <w:bottom w:w="0" w:type="dxa"/>
            <w:right w:w="0" w:type="dxa"/>
          </w:tblCellMar>
        </w:tblPrEx>
        <w:trPr>
          <w:trHeight w:val="340" w:hRule="exact"/>
        </w:trPr>
        <w:tc>
          <w:tcPr>
            <w:tcW w:w="1587" w:type="dxa"/>
            <w:tcBorders>
              <w:top w:val="nil"/>
              <w:left w:val="nil"/>
              <w:bottom w:val="nil"/>
              <w:right w:val="nil"/>
            </w:tcBorders>
            <w:shd w:val="clear" w:color="auto" w:fill="E2A48E"/>
          </w:tcPr>
          <w:p>
            <w:pPr>
              <w:pStyle w:val="8"/>
              <w:numPr>
                <w:ilvl w:val="0"/>
                <w:numId w:val="0"/>
              </w:numPr>
              <w:kinsoku w:val="0"/>
              <w:overflowPunct w:val="0"/>
              <w:spacing w:line="296" w:lineRule="exact"/>
              <w:ind w:leftChars="0"/>
              <w:jc w:val="both"/>
              <w:rPr>
                <w:rFonts w:hint="eastAsia" w:ascii="標楷體" w:hAnsi="標楷體" w:eastAsia="標楷體" w:cs="標楷體"/>
              </w:rPr>
            </w:pPr>
            <w:r>
              <w:rPr>
                <w:rFonts w:hint="eastAsia" w:ascii="標楷體" w:hAnsi="標楷體" w:eastAsia="標楷體" w:cs="標楷體"/>
                <w:color w:val="231F20"/>
                <w:sz w:val="20"/>
                <w:szCs w:val="20"/>
              </w:rPr>
              <w:t>國文</w:t>
            </w:r>
          </w:p>
        </w:tc>
        <w:tc>
          <w:tcPr>
            <w:tcW w:w="999" w:type="dxa"/>
            <w:tcBorders>
              <w:top w:val="nil"/>
              <w:left w:val="nil"/>
              <w:bottom w:val="nil"/>
              <w:right w:val="nil"/>
            </w:tcBorders>
            <w:shd w:val="clear" w:color="auto" w:fill="EED6D0"/>
          </w:tcPr>
          <w:p>
            <w:pPr>
              <w:pStyle w:val="8"/>
              <w:numPr>
                <w:ilvl w:val="0"/>
                <w:numId w:val="0"/>
              </w:numPr>
              <w:kinsoku w:val="0"/>
              <w:overflowPunct w:val="0"/>
              <w:spacing w:before="55"/>
              <w:ind w:leftChars="0" w:right="63" w:rightChars="0"/>
              <w:jc w:val="both"/>
              <w:rPr>
                <w:rFonts w:hint="eastAsia" w:ascii="標楷體" w:hAnsi="標楷體" w:eastAsia="標楷體" w:cs="標楷體"/>
              </w:rPr>
            </w:pPr>
            <w:r>
              <w:rPr>
                <w:rFonts w:hint="eastAsia" w:ascii="標楷體" w:hAnsi="標楷體" w:eastAsia="標楷體" w:cs="標楷體"/>
                <w:color w:val="231F20"/>
                <w:sz w:val="20"/>
                <w:szCs w:val="20"/>
              </w:rPr>
              <w:t>20</w:t>
            </w:r>
          </w:p>
        </w:tc>
        <w:tc>
          <w:tcPr>
            <w:tcW w:w="964" w:type="dxa"/>
            <w:tcBorders>
              <w:top w:val="nil"/>
              <w:left w:val="nil"/>
              <w:bottom w:val="nil"/>
              <w:right w:val="nil"/>
            </w:tcBorders>
            <w:shd w:val="clear" w:color="auto" w:fill="EED6D0"/>
          </w:tcPr>
          <w:p>
            <w:pPr>
              <w:pStyle w:val="8"/>
              <w:numPr>
                <w:ilvl w:val="0"/>
                <w:numId w:val="0"/>
              </w:numPr>
              <w:kinsoku w:val="0"/>
              <w:overflowPunct w:val="0"/>
              <w:spacing w:before="55"/>
              <w:ind w:leftChars="0" w:right="98" w:rightChars="0"/>
              <w:jc w:val="both"/>
              <w:rPr>
                <w:rFonts w:hint="eastAsia" w:ascii="標楷體" w:hAnsi="標楷體" w:eastAsia="標楷體" w:cs="標楷體"/>
              </w:rPr>
            </w:pPr>
            <w:r>
              <w:rPr>
                <w:rFonts w:hint="eastAsia" w:ascii="標楷體" w:hAnsi="標楷體" w:eastAsia="標楷體" w:cs="標楷體"/>
                <w:color w:val="231F20"/>
                <w:sz w:val="20"/>
                <w:szCs w:val="20"/>
              </w:rPr>
              <w:t>16</w:t>
            </w:r>
          </w:p>
        </w:tc>
        <w:tc>
          <w:tcPr>
            <w:tcW w:w="963" w:type="dxa"/>
            <w:tcBorders>
              <w:top w:val="nil"/>
              <w:left w:val="nil"/>
              <w:bottom w:val="nil"/>
              <w:right w:val="nil"/>
            </w:tcBorders>
            <w:shd w:val="clear" w:color="auto" w:fill="EED6D0"/>
          </w:tcPr>
          <w:p>
            <w:pPr>
              <w:pStyle w:val="8"/>
              <w:numPr>
                <w:ilvl w:val="0"/>
                <w:numId w:val="0"/>
              </w:numPr>
              <w:kinsoku w:val="0"/>
              <w:overflowPunct w:val="0"/>
              <w:spacing w:before="55"/>
              <w:ind w:leftChars="0" w:right="98" w:rightChars="0"/>
              <w:jc w:val="both"/>
              <w:rPr>
                <w:rFonts w:hint="eastAsia" w:ascii="標楷體" w:hAnsi="標楷體" w:eastAsia="標楷體" w:cs="標楷體"/>
              </w:rPr>
            </w:pPr>
            <w:r>
              <w:rPr>
                <w:rFonts w:hint="eastAsia" w:ascii="標楷體" w:hAnsi="標楷體" w:eastAsia="標楷體" w:cs="標楷體"/>
                <w:color w:val="231F20"/>
                <w:sz w:val="20"/>
                <w:szCs w:val="20"/>
              </w:rPr>
              <w:t>10</w:t>
            </w:r>
          </w:p>
        </w:tc>
        <w:tc>
          <w:tcPr>
            <w:tcW w:w="964" w:type="dxa"/>
            <w:tcBorders>
              <w:top w:val="nil"/>
              <w:left w:val="nil"/>
              <w:bottom w:val="nil"/>
              <w:right w:val="nil"/>
            </w:tcBorders>
            <w:shd w:val="clear" w:color="auto" w:fill="EED6D0"/>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5</w:t>
            </w:r>
          </w:p>
        </w:tc>
        <w:tc>
          <w:tcPr>
            <w:tcW w:w="964" w:type="dxa"/>
            <w:tcBorders>
              <w:top w:val="nil"/>
              <w:left w:val="nil"/>
              <w:bottom w:val="nil"/>
              <w:right w:val="nil"/>
            </w:tcBorders>
            <w:shd w:val="clear" w:color="auto" w:fill="EED6D0"/>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2</w:t>
            </w:r>
          </w:p>
        </w:tc>
        <w:tc>
          <w:tcPr>
            <w:tcW w:w="929" w:type="dxa"/>
            <w:tcBorders>
              <w:top w:val="nil"/>
              <w:left w:val="nil"/>
              <w:bottom w:val="nil"/>
              <w:right w:val="nil"/>
            </w:tcBorders>
            <w:shd w:val="clear" w:color="auto" w:fill="EED6D0"/>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0</w:t>
            </w:r>
          </w:p>
        </w:tc>
      </w:tr>
      <w:tr>
        <w:tblPrEx>
          <w:tblLayout w:type="fixed"/>
          <w:tblCellMar>
            <w:top w:w="0" w:type="dxa"/>
            <w:left w:w="0" w:type="dxa"/>
            <w:bottom w:w="0" w:type="dxa"/>
            <w:right w:w="0" w:type="dxa"/>
          </w:tblCellMar>
        </w:tblPrEx>
        <w:trPr>
          <w:trHeight w:val="340" w:hRule="exact"/>
        </w:trPr>
        <w:tc>
          <w:tcPr>
            <w:tcW w:w="1587" w:type="dxa"/>
            <w:tcBorders>
              <w:top w:val="nil"/>
              <w:left w:val="nil"/>
              <w:bottom w:val="nil"/>
              <w:right w:val="nil"/>
            </w:tcBorders>
            <w:shd w:val="clear" w:color="auto" w:fill="E2A48E"/>
          </w:tcPr>
          <w:p>
            <w:pPr>
              <w:pStyle w:val="8"/>
              <w:numPr>
                <w:ilvl w:val="0"/>
                <w:numId w:val="0"/>
              </w:numPr>
              <w:kinsoku w:val="0"/>
              <w:overflowPunct w:val="0"/>
              <w:spacing w:line="296" w:lineRule="exact"/>
              <w:ind w:leftChars="0"/>
              <w:jc w:val="both"/>
              <w:rPr>
                <w:rFonts w:hint="eastAsia" w:ascii="標楷體" w:hAnsi="標楷體" w:eastAsia="標楷體" w:cs="標楷體"/>
              </w:rPr>
            </w:pPr>
            <w:r>
              <w:rPr>
                <w:rFonts w:hint="eastAsia" w:ascii="標楷體" w:hAnsi="標楷體" w:eastAsia="標楷體" w:cs="標楷體"/>
                <w:color w:val="231F20"/>
                <w:sz w:val="20"/>
                <w:szCs w:val="20"/>
              </w:rPr>
              <w:t>英文</w:t>
            </w:r>
          </w:p>
        </w:tc>
        <w:tc>
          <w:tcPr>
            <w:tcW w:w="999" w:type="dxa"/>
            <w:tcBorders>
              <w:top w:val="nil"/>
              <w:left w:val="nil"/>
              <w:bottom w:val="nil"/>
              <w:right w:val="nil"/>
            </w:tcBorders>
            <w:shd w:val="clear" w:color="auto" w:fill="E4C0B8"/>
          </w:tcPr>
          <w:p>
            <w:pPr>
              <w:pStyle w:val="8"/>
              <w:numPr>
                <w:ilvl w:val="0"/>
                <w:numId w:val="0"/>
              </w:numPr>
              <w:kinsoku w:val="0"/>
              <w:overflowPunct w:val="0"/>
              <w:spacing w:before="55"/>
              <w:ind w:leftChars="0" w:right="63" w:rightChars="0"/>
              <w:jc w:val="both"/>
              <w:rPr>
                <w:rFonts w:hint="eastAsia" w:ascii="標楷體" w:hAnsi="標楷體" w:eastAsia="標楷體" w:cs="標楷體"/>
              </w:rPr>
            </w:pPr>
            <w:r>
              <w:rPr>
                <w:rFonts w:hint="eastAsia" w:ascii="標楷體" w:hAnsi="標楷體" w:eastAsia="標楷體" w:cs="標楷體"/>
                <w:color w:val="231F20"/>
                <w:sz w:val="20"/>
                <w:szCs w:val="20"/>
              </w:rPr>
              <w:t>15</w:t>
            </w:r>
          </w:p>
        </w:tc>
        <w:tc>
          <w:tcPr>
            <w:tcW w:w="964" w:type="dxa"/>
            <w:tcBorders>
              <w:top w:val="nil"/>
              <w:left w:val="nil"/>
              <w:bottom w:val="nil"/>
              <w:right w:val="nil"/>
            </w:tcBorders>
            <w:shd w:val="clear" w:color="auto" w:fill="E4C0B8"/>
          </w:tcPr>
          <w:p>
            <w:pPr>
              <w:pStyle w:val="8"/>
              <w:numPr>
                <w:ilvl w:val="0"/>
                <w:numId w:val="0"/>
              </w:numPr>
              <w:kinsoku w:val="0"/>
              <w:overflowPunct w:val="0"/>
              <w:spacing w:before="55"/>
              <w:ind w:leftChars="0" w:right="98" w:rightChars="0"/>
              <w:jc w:val="both"/>
              <w:rPr>
                <w:rFonts w:hint="eastAsia" w:ascii="標楷體" w:hAnsi="標楷體" w:eastAsia="標楷體" w:cs="標楷體"/>
              </w:rPr>
            </w:pPr>
            <w:r>
              <w:rPr>
                <w:rFonts w:hint="eastAsia" w:ascii="標楷體" w:hAnsi="標楷體" w:eastAsia="標楷體" w:cs="標楷體"/>
                <w:color w:val="231F20"/>
                <w:sz w:val="20"/>
                <w:szCs w:val="20"/>
              </w:rPr>
              <w:t>12</w:t>
            </w:r>
          </w:p>
        </w:tc>
        <w:tc>
          <w:tcPr>
            <w:tcW w:w="963" w:type="dxa"/>
            <w:tcBorders>
              <w:top w:val="nil"/>
              <w:left w:val="nil"/>
              <w:bottom w:val="nil"/>
              <w:right w:val="nil"/>
            </w:tcBorders>
            <w:shd w:val="clear" w:color="auto" w:fill="E4C0B8"/>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9</w:t>
            </w:r>
          </w:p>
        </w:tc>
        <w:tc>
          <w:tcPr>
            <w:tcW w:w="964" w:type="dxa"/>
            <w:tcBorders>
              <w:top w:val="nil"/>
              <w:left w:val="nil"/>
              <w:bottom w:val="nil"/>
              <w:right w:val="nil"/>
            </w:tcBorders>
            <w:shd w:val="clear" w:color="auto" w:fill="E4C0B8"/>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6</w:t>
            </w:r>
          </w:p>
        </w:tc>
        <w:tc>
          <w:tcPr>
            <w:tcW w:w="964" w:type="dxa"/>
            <w:tcBorders>
              <w:top w:val="nil"/>
              <w:left w:val="nil"/>
              <w:bottom w:val="nil"/>
              <w:right w:val="nil"/>
            </w:tcBorders>
            <w:shd w:val="clear" w:color="auto" w:fill="E4C0B8"/>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3</w:t>
            </w:r>
          </w:p>
        </w:tc>
        <w:tc>
          <w:tcPr>
            <w:tcW w:w="929" w:type="dxa"/>
            <w:tcBorders>
              <w:top w:val="nil"/>
              <w:left w:val="nil"/>
              <w:bottom w:val="nil"/>
              <w:right w:val="nil"/>
            </w:tcBorders>
            <w:shd w:val="clear" w:color="auto" w:fill="E4C0B8"/>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1</w:t>
            </w:r>
          </w:p>
        </w:tc>
      </w:tr>
      <w:tr>
        <w:tblPrEx>
          <w:tblLayout w:type="fixed"/>
          <w:tblCellMar>
            <w:top w:w="0" w:type="dxa"/>
            <w:left w:w="0" w:type="dxa"/>
            <w:bottom w:w="0" w:type="dxa"/>
            <w:right w:w="0" w:type="dxa"/>
          </w:tblCellMar>
        </w:tblPrEx>
        <w:trPr>
          <w:trHeight w:val="340" w:hRule="exact"/>
        </w:trPr>
        <w:tc>
          <w:tcPr>
            <w:tcW w:w="1587" w:type="dxa"/>
            <w:tcBorders>
              <w:top w:val="nil"/>
              <w:left w:val="nil"/>
              <w:bottom w:val="nil"/>
              <w:right w:val="nil"/>
            </w:tcBorders>
            <w:shd w:val="clear" w:color="auto" w:fill="E2A48E"/>
          </w:tcPr>
          <w:p>
            <w:pPr>
              <w:pStyle w:val="8"/>
              <w:numPr>
                <w:ilvl w:val="0"/>
                <w:numId w:val="0"/>
              </w:numPr>
              <w:kinsoku w:val="0"/>
              <w:overflowPunct w:val="0"/>
              <w:spacing w:line="296" w:lineRule="exact"/>
              <w:ind w:leftChars="0"/>
              <w:rPr>
                <w:rFonts w:hint="eastAsia" w:ascii="標楷體" w:hAnsi="標楷體" w:eastAsia="標楷體" w:cs="標楷體"/>
              </w:rPr>
            </w:pPr>
            <w:r>
              <w:rPr>
                <w:rFonts w:hint="eastAsia" w:ascii="標楷體" w:hAnsi="標楷體" w:eastAsia="標楷體" w:cs="標楷體"/>
                <w:color w:val="231F20"/>
                <w:sz w:val="20"/>
                <w:szCs w:val="20"/>
              </w:rPr>
              <w:t>經濟學</w:t>
            </w:r>
          </w:p>
        </w:tc>
        <w:tc>
          <w:tcPr>
            <w:tcW w:w="999" w:type="dxa"/>
            <w:tcBorders>
              <w:top w:val="nil"/>
              <w:left w:val="nil"/>
              <w:bottom w:val="nil"/>
              <w:right w:val="nil"/>
            </w:tcBorders>
            <w:shd w:val="clear" w:color="auto" w:fill="EED6D0"/>
          </w:tcPr>
          <w:p>
            <w:pPr>
              <w:pStyle w:val="8"/>
              <w:numPr>
                <w:ilvl w:val="0"/>
                <w:numId w:val="0"/>
              </w:numPr>
              <w:kinsoku w:val="0"/>
              <w:overflowPunct w:val="0"/>
              <w:spacing w:before="55"/>
              <w:ind w:leftChars="0" w:right="63" w:rightChars="0"/>
              <w:jc w:val="both"/>
              <w:rPr>
                <w:rFonts w:hint="eastAsia" w:ascii="標楷體" w:hAnsi="標楷體" w:eastAsia="標楷體" w:cs="標楷體"/>
              </w:rPr>
            </w:pPr>
            <w:r>
              <w:rPr>
                <w:rFonts w:hint="eastAsia" w:ascii="標楷體" w:hAnsi="標楷體" w:eastAsia="標楷體" w:cs="標楷體"/>
                <w:color w:val="231F20"/>
                <w:sz w:val="20"/>
                <w:szCs w:val="20"/>
              </w:rPr>
              <w:t>25</w:t>
            </w:r>
          </w:p>
        </w:tc>
        <w:tc>
          <w:tcPr>
            <w:tcW w:w="964" w:type="dxa"/>
            <w:tcBorders>
              <w:top w:val="nil"/>
              <w:left w:val="nil"/>
              <w:bottom w:val="nil"/>
              <w:right w:val="nil"/>
            </w:tcBorders>
            <w:shd w:val="clear" w:color="auto" w:fill="EED6D0"/>
          </w:tcPr>
          <w:p>
            <w:pPr>
              <w:pStyle w:val="8"/>
              <w:numPr>
                <w:ilvl w:val="0"/>
                <w:numId w:val="0"/>
              </w:numPr>
              <w:kinsoku w:val="0"/>
              <w:overflowPunct w:val="0"/>
              <w:spacing w:before="55"/>
              <w:ind w:leftChars="0" w:right="98" w:rightChars="0"/>
              <w:jc w:val="both"/>
              <w:rPr>
                <w:rFonts w:hint="eastAsia" w:ascii="標楷體" w:hAnsi="標楷體" w:eastAsia="標楷體" w:cs="標楷體"/>
              </w:rPr>
            </w:pPr>
            <w:r>
              <w:rPr>
                <w:rFonts w:hint="eastAsia" w:ascii="標楷體" w:hAnsi="標楷體" w:eastAsia="標楷體" w:cs="標楷體"/>
                <w:color w:val="231F20"/>
                <w:sz w:val="20"/>
                <w:szCs w:val="20"/>
              </w:rPr>
              <w:t>22</w:t>
            </w:r>
          </w:p>
        </w:tc>
        <w:tc>
          <w:tcPr>
            <w:tcW w:w="963" w:type="dxa"/>
            <w:tcBorders>
              <w:top w:val="nil"/>
              <w:left w:val="nil"/>
              <w:bottom w:val="nil"/>
              <w:right w:val="nil"/>
            </w:tcBorders>
            <w:shd w:val="clear" w:color="auto" w:fill="EED6D0"/>
          </w:tcPr>
          <w:p>
            <w:pPr>
              <w:pStyle w:val="8"/>
              <w:numPr>
                <w:ilvl w:val="0"/>
                <w:numId w:val="0"/>
              </w:numPr>
              <w:kinsoku w:val="0"/>
              <w:overflowPunct w:val="0"/>
              <w:spacing w:before="55"/>
              <w:ind w:leftChars="0" w:right="98" w:rightChars="0"/>
              <w:jc w:val="both"/>
              <w:rPr>
                <w:rFonts w:hint="eastAsia" w:ascii="標楷體" w:hAnsi="標楷體" w:eastAsia="標楷體" w:cs="標楷體"/>
              </w:rPr>
            </w:pPr>
            <w:r>
              <w:rPr>
                <w:rFonts w:hint="eastAsia" w:ascii="標楷體" w:hAnsi="標楷體" w:eastAsia="標楷體" w:cs="標楷體"/>
                <w:color w:val="231F20"/>
                <w:sz w:val="20"/>
                <w:szCs w:val="20"/>
              </w:rPr>
              <w:t>18</w:t>
            </w:r>
          </w:p>
        </w:tc>
        <w:tc>
          <w:tcPr>
            <w:tcW w:w="964" w:type="dxa"/>
            <w:tcBorders>
              <w:top w:val="nil"/>
              <w:left w:val="nil"/>
              <w:bottom w:val="nil"/>
              <w:right w:val="nil"/>
            </w:tcBorders>
            <w:shd w:val="clear" w:color="auto" w:fill="EED6D0"/>
          </w:tcPr>
          <w:p>
            <w:pPr>
              <w:pStyle w:val="8"/>
              <w:numPr>
                <w:ilvl w:val="0"/>
                <w:numId w:val="0"/>
              </w:numPr>
              <w:kinsoku w:val="0"/>
              <w:overflowPunct w:val="0"/>
              <w:spacing w:before="55"/>
              <w:ind w:leftChars="0" w:right="98" w:rightChars="0"/>
              <w:jc w:val="both"/>
              <w:rPr>
                <w:rFonts w:hint="eastAsia" w:ascii="標楷體" w:hAnsi="標楷體" w:eastAsia="標楷體" w:cs="標楷體"/>
              </w:rPr>
            </w:pPr>
            <w:r>
              <w:rPr>
                <w:rFonts w:hint="eastAsia" w:ascii="標楷體" w:hAnsi="標楷體" w:eastAsia="標楷體" w:cs="標楷體"/>
                <w:color w:val="231F20"/>
                <w:sz w:val="20"/>
                <w:szCs w:val="20"/>
              </w:rPr>
              <w:t>14</w:t>
            </w:r>
          </w:p>
        </w:tc>
        <w:tc>
          <w:tcPr>
            <w:tcW w:w="964" w:type="dxa"/>
            <w:tcBorders>
              <w:top w:val="nil"/>
              <w:left w:val="nil"/>
              <w:bottom w:val="nil"/>
              <w:right w:val="nil"/>
            </w:tcBorders>
            <w:shd w:val="clear" w:color="auto" w:fill="EED6D0"/>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8</w:t>
            </w:r>
          </w:p>
        </w:tc>
        <w:tc>
          <w:tcPr>
            <w:tcW w:w="929" w:type="dxa"/>
            <w:tcBorders>
              <w:top w:val="nil"/>
              <w:left w:val="nil"/>
              <w:bottom w:val="nil"/>
              <w:right w:val="nil"/>
            </w:tcBorders>
            <w:shd w:val="clear" w:color="auto" w:fill="EED6D0"/>
          </w:tcPr>
          <w:p>
            <w:pPr>
              <w:pStyle w:val="8"/>
              <w:numPr>
                <w:ilvl w:val="0"/>
                <w:numId w:val="0"/>
              </w:numPr>
              <w:kinsoku w:val="0"/>
              <w:overflowPunct w:val="0"/>
              <w:spacing w:before="55"/>
              <w:ind w:leftChars="0"/>
              <w:jc w:val="both"/>
              <w:rPr>
                <w:rFonts w:hint="eastAsia" w:ascii="標楷體" w:hAnsi="標楷體" w:eastAsia="標楷體" w:cs="標楷體"/>
              </w:rPr>
            </w:pPr>
            <w:r>
              <w:rPr>
                <w:rFonts w:hint="eastAsia" w:ascii="標楷體" w:hAnsi="標楷體" w:eastAsia="標楷體" w:cs="標楷體"/>
                <w:color w:val="231F20"/>
                <w:sz w:val="20"/>
                <w:szCs w:val="20"/>
              </w:rPr>
              <w:t>2</w:t>
            </w:r>
          </w:p>
        </w:tc>
      </w:tr>
    </w:tbl>
    <w:p>
      <w:pPr>
        <w:pStyle w:val="3"/>
        <w:kinsoku w:val="0"/>
        <w:overflowPunct w:val="0"/>
        <w:spacing w:before="9"/>
        <w:ind w:left="0"/>
        <w:rPr>
          <w:rFonts w:hint="eastAsia" w:ascii="標楷體" w:hAnsi="標楷體" w:eastAsia="標楷體" w:cs="標楷體"/>
          <w:sz w:val="10"/>
          <w:szCs w:val="10"/>
        </w:rPr>
      </w:pPr>
    </w:p>
    <w:p>
      <w:pPr>
        <w:numPr>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在最適時，他一天應該唸幾小時經濟學？</w:t>
      </w:r>
      <w:r>
        <w:rPr>
          <w:rFonts w:hint="eastAsia" w:ascii="標楷體" w:hAnsi="標楷體" w:eastAsia="標楷體" w:cs="標楷體"/>
          <w:kern w:val="0"/>
          <w:szCs w:val="24"/>
        </w:rPr>
        <w:t xml:space="preserve">(c)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5 </w:t>
      </w:r>
      <w:r>
        <w:rPr>
          <w:rFonts w:hint="eastAsia" w:ascii="標楷體" w:hAnsi="標楷體" w:eastAsia="標楷體" w:cs="標楷體"/>
          <w:color w:val="000000"/>
          <w:kern w:val="0"/>
          <w:szCs w:val="24"/>
        </w:rPr>
        <w:t>小時</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4 </w:t>
      </w:r>
      <w:r>
        <w:rPr>
          <w:rFonts w:hint="eastAsia" w:ascii="標楷體" w:hAnsi="標楷體" w:eastAsia="標楷體" w:cs="標楷體"/>
          <w:color w:val="000000"/>
          <w:kern w:val="0"/>
          <w:szCs w:val="24"/>
        </w:rPr>
        <w:t>小時</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3 </w:t>
      </w:r>
      <w:r>
        <w:rPr>
          <w:rFonts w:hint="eastAsia" w:ascii="標楷體" w:hAnsi="標楷體" w:eastAsia="標楷體" w:cs="標楷體"/>
          <w:color w:val="000000"/>
          <w:kern w:val="0"/>
          <w:szCs w:val="24"/>
        </w:rPr>
        <w:t>小時</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2 </w:t>
      </w:r>
      <w:r>
        <w:rPr>
          <w:rFonts w:hint="eastAsia" w:ascii="標楷體" w:hAnsi="標楷體" w:eastAsia="標楷體" w:cs="標楷體"/>
          <w:color w:val="000000"/>
          <w:kern w:val="0"/>
          <w:szCs w:val="24"/>
        </w:rPr>
        <w:t>小時</w:t>
      </w:r>
      <w:r>
        <w:rPr>
          <w:rFonts w:hint="eastAsia" w:ascii="標楷體" w:hAnsi="標楷體" w:eastAsia="標楷體" w:cs="標楷體"/>
          <w:color w:val="000000"/>
          <w:kern w:val="0"/>
          <w:szCs w:val="24"/>
        </w:rPr>
        <w:t xml:space="preserve">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(106 </w:t>
      </w:r>
      <w:r>
        <w:rPr>
          <w:rFonts w:hint="eastAsia" w:ascii="標楷體" w:hAnsi="標楷體" w:eastAsia="標楷體" w:cs="標楷體"/>
          <w:color w:val="000000"/>
          <w:kern w:val="0"/>
          <w:szCs w:val="24"/>
        </w:rPr>
        <w:t>年關務人員考試</w:t>
      </w:r>
      <w:r>
        <w:rPr>
          <w:rFonts w:hint="eastAsia" w:ascii="標楷體" w:hAnsi="標楷體" w:eastAsia="標楷體" w:cs="標楷體"/>
          <w:color w:val="000000"/>
          <w:kern w:val="0"/>
          <w:szCs w:val="24"/>
        </w:rPr>
        <w:t>)</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下圖顯示某競爭廠商其邊際成本</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w:t>
      </w:r>
      <w:r>
        <w:rPr>
          <w:rFonts w:hint="eastAsia" w:ascii="標楷體" w:hAnsi="標楷體" w:eastAsia="標楷體" w:cs="標楷體"/>
          <w:i/>
          <w:iCs/>
          <w:color w:val="000000"/>
          <w:kern w:val="0"/>
          <w:szCs w:val="24"/>
        </w:rPr>
        <w:t>MC</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與社會邊際成本</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w:t>
      </w:r>
      <w:r>
        <w:rPr>
          <w:rFonts w:hint="eastAsia" w:ascii="標楷體" w:hAnsi="標楷體" w:eastAsia="標楷體" w:cs="標楷體"/>
          <w:i/>
          <w:iCs/>
          <w:color w:val="000000"/>
          <w:kern w:val="0"/>
          <w:szCs w:val="24"/>
        </w:rPr>
        <w:t>SMC</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兩條曲線，且市場均衡價格為</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20</w:t>
      </w:r>
      <w:r>
        <w:rPr>
          <w:rFonts w:hint="eastAsia" w:ascii="標楷體" w:hAnsi="標楷體" w:eastAsia="標楷體" w:cs="標楷體"/>
          <w:color w:val="000000"/>
          <w:kern w:val="0"/>
          <w:szCs w:val="24"/>
        </w:rPr>
        <w:t>。政府為矯正外部性所造成之無效率，應該訂定單位稅額為：</w:t>
      </w:r>
      <w:r>
        <w:rPr>
          <w:rFonts w:hint="eastAsia" w:ascii="標楷體" w:hAnsi="標楷體" w:eastAsia="標楷體" w:cs="標楷體"/>
          <w:kern w:val="0"/>
          <w:szCs w:val="24"/>
        </w:rPr>
        <w:t>(a)</w:t>
      </w:r>
    </w:p>
    <w:p>
      <w:pPr>
        <w:autoSpaceDE w:val="0"/>
        <w:autoSpaceDN w:val="0"/>
        <w:adjustRightInd w:val="0"/>
        <w:rPr>
          <w:rFonts w:hint="eastAsia" w:ascii="標楷體" w:hAnsi="標楷體" w:eastAsia="標楷體" w:cs="標楷體"/>
          <w:color w:val="000000"/>
          <w:kern w:val="0"/>
          <w:szCs w:val="24"/>
        </w:rPr>
      </w:pPr>
    </w:p>
    <w:p>
      <w:pPr>
        <w:numPr>
          <w:ilvl w:val="0"/>
          <w:numId w:val="0"/>
        </w:numPr>
        <w:autoSpaceDE w:val="0"/>
        <w:autoSpaceDN w:val="0"/>
        <w:adjustRightInd w:val="0"/>
        <w:ind w:left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lang w:val="en-US" w:eastAsia="zh-CN"/>
        </w:rPr>
        <w:t xml:space="preserve"> </w:t>
      </w:r>
      <w:r>
        <w:rPr>
          <w:rFonts w:hint="eastAsia" w:ascii="標楷體" w:hAnsi="標楷體" w:eastAsia="標楷體" w:cs="標楷體"/>
          <w:color w:val="000000"/>
          <w:kern w:val="0"/>
          <w:szCs w:val="24"/>
        </w:rPr>
        <w:drawing>
          <wp:inline distT="0" distB="0" distL="0" distR="0">
            <wp:extent cx="3609975" cy="272415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609975" cy="2724150"/>
                    </a:xfrm>
                    <a:prstGeom prst="rect">
                      <a:avLst/>
                    </a:prstGeom>
                    <a:noFill/>
                    <a:ln>
                      <a:noFill/>
                    </a:ln>
                  </pic:spPr>
                </pic:pic>
              </a:graphicData>
            </a:graphic>
          </wp:inline>
        </w:drawing>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(a) 4</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(b) 8</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(c) 12</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(d) 16</w:t>
      </w:r>
    </w:p>
    <w:p>
      <w:pPr>
        <w:autoSpaceDE w:val="0"/>
        <w:autoSpaceDN w:val="0"/>
        <w:adjustRightInd w:val="0"/>
        <w:rPr>
          <w:rFonts w:hint="eastAsia" w:ascii="標楷體" w:hAnsi="標楷體" w:eastAsia="標楷體" w:cs="標楷體"/>
          <w:color w:val="000000"/>
          <w:kern w:val="0"/>
          <w:szCs w:val="24"/>
        </w:rPr>
      </w:pPr>
    </w:p>
    <w:p>
      <w:pPr>
        <w:numPr>
          <w:ilvl w:val="0"/>
          <w:numId w:val="1"/>
        </w:numPr>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市場失靈發生於：</w:t>
      </w:r>
      <w:r>
        <w:rPr>
          <w:rFonts w:hint="eastAsia" w:ascii="標楷體" w:hAnsi="標楷體" w:eastAsia="標楷體" w:cs="標楷體"/>
          <w:kern w:val="0"/>
          <w:szCs w:val="24"/>
        </w:rPr>
        <w:t xml:space="preserve">(a)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市場雖然處於均衡，但沒有達成經濟效率</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競爭廠商長期經濟利潤為零</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競爭廠商短期發生虧損</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物價上漲使得消費者覺得日子難過</w:t>
      </w:r>
      <w:r>
        <w:rPr>
          <w:rFonts w:hint="eastAsia" w:ascii="標楷體" w:hAnsi="標楷體" w:eastAsia="標楷體" w:cs="標楷體"/>
          <w:color w:val="000000"/>
          <w:kern w:val="0"/>
          <w:szCs w:val="24"/>
        </w:rPr>
        <w:t xml:space="preserve">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(105 </w:t>
      </w:r>
      <w:r>
        <w:rPr>
          <w:rFonts w:hint="eastAsia" w:ascii="標楷體" w:hAnsi="標楷體" w:eastAsia="標楷體" w:cs="標楷體"/>
          <w:color w:val="000000"/>
          <w:kern w:val="0"/>
          <w:szCs w:val="24"/>
        </w:rPr>
        <w:t>年金融保險高考</w:t>
      </w:r>
      <w:r>
        <w:rPr>
          <w:rFonts w:hint="eastAsia" w:ascii="標楷體" w:hAnsi="標楷體" w:eastAsia="標楷體" w:cs="標楷體"/>
          <w:color w:val="000000"/>
          <w:kern w:val="0"/>
          <w:szCs w:val="24"/>
        </w:rPr>
        <w:t>)</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環境污染會造成外部成本，是因為：</w:t>
      </w:r>
      <w:r>
        <w:rPr>
          <w:rFonts w:hint="eastAsia" w:ascii="標楷體" w:hAnsi="標楷體" w:eastAsia="標楷體" w:cs="標楷體"/>
          <w:kern w:val="0"/>
          <w:szCs w:val="24"/>
        </w:rPr>
        <w:t xml:space="preserve"> (d)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污染行為人是沒有生產力的人</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承受污染的人沒有支付污染成本</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污染行為人沒有認知到污染是不好的</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污染行為人沒有負擔污染成本</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(105 </w:t>
      </w:r>
      <w:r>
        <w:rPr>
          <w:rFonts w:hint="eastAsia" w:ascii="標楷體" w:hAnsi="標楷體" w:eastAsia="標楷體" w:cs="標楷體"/>
          <w:color w:val="000000"/>
          <w:kern w:val="0"/>
          <w:szCs w:val="24"/>
        </w:rPr>
        <w:t>年初等考試</w:t>
      </w:r>
      <w:r>
        <w:rPr>
          <w:rFonts w:hint="eastAsia" w:ascii="標楷體" w:hAnsi="標楷體" w:eastAsia="標楷體" w:cs="標楷體"/>
          <w:color w:val="000000"/>
          <w:kern w:val="0"/>
          <w:szCs w:val="24"/>
        </w:rPr>
        <w:t>)</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下列何者並非負的外部性？</w:t>
      </w:r>
      <w:r>
        <w:rPr>
          <w:rFonts w:hint="eastAsia" w:ascii="標楷體" w:hAnsi="標楷體" w:eastAsia="標楷體" w:cs="標楷體"/>
          <w:kern w:val="0"/>
          <w:szCs w:val="24"/>
        </w:rPr>
        <w:t>(d)</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史密斯公司生產鋼鐵並在美國橘郡製造污染</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你的朋友買了一隻小狗，每天晚上都在狂吠</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你對醫生開給你的藥過敏</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你的鄰居買了一套很貴的音響</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當有下列何種情形時，商品在市場會出現供給不足的現象？</w:t>
      </w:r>
      <w:r>
        <w:rPr>
          <w:rFonts w:hint="eastAsia" w:ascii="標楷體" w:hAnsi="標楷體" w:eastAsia="標楷體" w:cs="標楷體"/>
          <w:kern w:val="0"/>
          <w:szCs w:val="24"/>
        </w:rPr>
        <w:t xml:space="preserve">  (a)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正的外部性</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負的外部性</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社會成本</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內部成本</w:t>
      </w:r>
      <w:r>
        <w:rPr>
          <w:rFonts w:hint="eastAsia" w:ascii="標楷體" w:hAnsi="標楷體" w:eastAsia="標楷體" w:cs="標楷體"/>
          <w:color w:val="000000"/>
          <w:kern w:val="0"/>
          <w:szCs w:val="24"/>
        </w:rPr>
        <w:t xml:space="preserve">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(105 </w:t>
      </w:r>
      <w:r>
        <w:rPr>
          <w:rFonts w:hint="eastAsia" w:ascii="標楷體" w:hAnsi="標楷體" w:eastAsia="標楷體" w:cs="標楷體"/>
          <w:color w:val="000000"/>
          <w:kern w:val="0"/>
          <w:szCs w:val="24"/>
        </w:rPr>
        <w:t>年經建行政高考</w:t>
      </w:r>
      <w:r>
        <w:rPr>
          <w:rFonts w:hint="eastAsia" w:ascii="標楷體" w:hAnsi="標楷體" w:eastAsia="標楷體" w:cs="標楷體"/>
          <w:color w:val="000000"/>
          <w:kern w:val="0"/>
          <w:szCs w:val="24"/>
        </w:rPr>
        <w:t>)</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b/>
          <w:bCs/>
          <w:color w:val="B32600"/>
          <w:kern w:val="0"/>
          <w:szCs w:val="24"/>
        </w:rPr>
        <w:t xml:space="preserve"> </w:t>
      </w:r>
      <w:r>
        <w:rPr>
          <w:rFonts w:hint="eastAsia" w:ascii="標楷體" w:hAnsi="標楷體" w:eastAsia="標楷體" w:cs="標楷體"/>
          <w:color w:val="000000"/>
          <w:kern w:val="0"/>
          <w:szCs w:val="24"/>
        </w:rPr>
        <w:t>關於水污染的問題，從社會的觀點最適污染水準為何？</w:t>
      </w:r>
      <w:r>
        <w:rPr>
          <w:rFonts w:hint="eastAsia" w:ascii="標楷體" w:hAnsi="標楷體" w:eastAsia="標楷體" w:cs="標楷體"/>
          <w:kern w:val="0"/>
          <w:szCs w:val="24"/>
        </w:rPr>
        <w:t>(c)</w:t>
      </w:r>
      <w:r>
        <w:rPr>
          <w:rFonts w:hint="eastAsia" w:ascii="標楷體" w:hAnsi="標楷體" w:eastAsia="標楷體" w:cs="標楷體"/>
          <w:kern w:val="0"/>
          <w:szCs w:val="24"/>
        </w:rPr>
        <w:t xml:space="preserve">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應為零污染</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應由市場決定政府不宜介入</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應低於市場決定之水準</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應高於市場決定之水準</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(100 </w:t>
      </w:r>
      <w:r>
        <w:rPr>
          <w:rFonts w:hint="eastAsia" w:ascii="標楷體" w:hAnsi="標楷體" w:eastAsia="標楷體" w:cs="標楷體"/>
          <w:color w:val="000000"/>
          <w:kern w:val="0"/>
          <w:szCs w:val="24"/>
        </w:rPr>
        <w:t>年初等考試</w:t>
      </w:r>
      <w:r>
        <w:rPr>
          <w:rFonts w:hint="eastAsia" w:ascii="標楷體" w:hAnsi="標楷體" w:eastAsia="標楷體" w:cs="標楷體"/>
          <w:color w:val="000000"/>
          <w:kern w:val="0"/>
          <w:szCs w:val="24"/>
        </w:rPr>
        <w:t>)</w:t>
      </w:r>
    </w:p>
    <w:p>
      <w:pPr>
        <w:numPr>
          <w:ilvl w:val="0"/>
          <w:numId w:val="1"/>
        </w:numPr>
        <w:autoSpaceDE w:val="0"/>
        <w:autoSpaceDN w:val="0"/>
        <w:adjustRightInd w:val="0"/>
        <w:ind w:left="425" w:leftChars="0" w:hanging="425" w:firstLineChars="0"/>
        <w:rPr>
          <w:rFonts w:hint="eastAsia" w:ascii="標楷體" w:hAnsi="標楷體" w:eastAsia="標楷體" w:cs="標楷體"/>
          <w:kern w:val="0"/>
          <w:szCs w:val="24"/>
        </w:rPr>
      </w:pPr>
      <w:r>
        <w:rPr>
          <w:rFonts w:hint="eastAsia" w:ascii="標楷體" w:hAnsi="標楷體" w:eastAsia="標楷體" w:cs="標楷體"/>
          <w:color w:val="000000"/>
          <w:kern w:val="0"/>
          <w:szCs w:val="24"/>
        </w:rPr>
        <w:t>公共財與共同資源皆為：</w:t>
      </w:r>
      <w:r>
        <w:rPr>
          <w:rFonts w:hint="eastAsia" w:ascii="標楷體" w:hAnsi="標楷體" w:eastAsia="標楷體" w:cs="標楷體"/>
          <w:kern w:val="0"/>
          <w:szCs w:val="24"/>
        </w:rPr>
        <w:t xml:space="preserve">(d)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敵對的</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非敵對的</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排它的</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非排它的</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寇斯定理強調的是：</w:t>
      </w:r>
      <w:r>
        <w:rPr>
          <w:rFonts w:hint="eastAsia" w:ascii="標楷體" w:hAnsi="標楷體" w:eastAsia="標楷體" w:cs="標楷體"/>
          <w:kern w:val="0"/>
          <w:szCs w:val="24"/>
        </w:rPr>
        <w:t xml:space="preserve">(c)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外部性必須由政府介入才得以獲得效率結果</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外部性無法靠市場機制解決</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外部性的處理不一定要政府</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外部性一定存在而無法根除</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消防車數量增加，使滅火速度提升，使自己的房子免受祝融之災。政府提供的消防安全防護為：</w:t>
      </w:r>
      <w:r>
        <w:rPr>
          <w:rFonts w:hint="eastAsia" w:ascii="標楷體" w:hAnsi="標楷體" w:eastAsia="標楷體" w:cs="標楷體"/>
          <w:kern w:val="0"/>
          <w:szCs w:val="24"/>
        </w:rPr>
        <w:t xml:space="preserve">(c)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純私有財</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準私有財</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純公共財</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準公共財</w:t>
      </w:r>
      <w:r>
        <w:rPr>
          <w:rFonts w:hint="eastAsia" w:ascii="標楷體" w:hAnsi="標楷體" w:eastAsia="標楷體" w:cs="標楷體"/>
          <w:color w:val="000000"/>
          <w:kern w:val="0"/>
          <w:szCs w:val="24"/>
        </w:rPr>
        <w:t xml:space="preserve">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(101 </w:t>
      </w:r>
      <w:r>
        <w:rPr>
          <w:rFonts w:hint="eastAsia" w:ascii="標楷體" w:hAnsi="標楷體" w:eastAsia="標楷體" w:cs="標楷體"/>
          <w:color w:val="000000"/>
          <w:kern w:val="0"/>
          <w:szCs w:val="24"/>
        </w:rPr>
        <w:t>年高考三級</w:t>
      </w:r>
      <w:r>
        <w:rPr>
          <w:rFonts w:hint="eastAsia" w:ascii="標楷體" w:hAnsi="標楷體" w:eastAsia="標楷體" w:cs="標楷體"/>
          <w:color w:val="000000"/>
          <w:kern w:val="0"/>
          <w:szCs w:val="24"/>
        </w:rPr>
        <w:t>)</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擁擠而導致速度慢的免費無線網路</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(free Wi-Fi) </w:t>
      </w:r>
      <w:r>
        <w:rPr>
          <w:rFonts w:hint="eastAsia" w:ascii="標楷體" w:hAnsi="標楷體" w:eastAsia="標楷體" w:cs="標楷體"/>
          <w:color w:val="000000"/>
          <w:kern w:val="0"/>
          <w:szCs w:val="24"/>
        </w:rPr>
        <w:t>屬於：</w:t>
      </w:r>
      <w:r>
        <w:rPr>
          <w:rFonts w:hint="eastAsia" w:ascii="標楷體" w:hAnsi="標楷體" w:eastAsia="標楷體" w:cs="標楷體"/>
          <w:kern w:val="0"/>
          <w:szCs w:val="24"/>
        </w:rPr>
        <w:t xml:space="preserve"> (c)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私有財</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俱樂部財</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共同資源</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公共財</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(106 </w:t>
      </w:r>
      <w:r>
        <w:rPr>
          <w:rFonts w:hint="eastAsia" w:ascii="標楷體" w:hAnsi="標楷體" w:eastAsia="標楷體" w:cs="標楷體"/>
          <w:color w:val="000000"/>
          <w:kern w:val="0"/>
          <w:szCs w:val="24"/>
        </w:rPr>
        <w:t>年勞工行政</w:t>
      </w:r>
      <w:r>
        <w:rPr>
          <w:rFonts w:hint="eastAsia" w:ascii="標楷體" w:hAnsi="標楷體" w:eastAsia="標楷體" w:cs="標楷體"/>
          <w:color w:val="000000"/>
          <w:kern w:val="0"/>
          <w:szCs w:val="24"/>
        </w:rPr>
        <w:t>)</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p>
    <w:p>
      <w:pPr>
        <w:numPr>
          <w:ilvl w:val="0"/>
          <w:numId w:val="1"/>
        </w:numPr>
        <w:autoSpaceDE w:val="0"/>
        <w:autoSpaceDN w:val="0"/>
        <w:adjustRightInd w:val="0"/>
        <w:ind w:left="425" w:leftChars="0" w:hanging="425" w:firstLineChars="0"/>
        <w:rPr>
          <w:rFonts w:hint="eastAsia" w:ascii="標楷體" w:hAnsi="標楷體" w:eastAsia="標楷體" w:cs="標楷體"/>
        </w:rPr>
      </w:pPr>
      <w:r>
        <w:rPr>
          <w:rFonts w:hint="eastAsia" w:ascii="標楷體" w:hAnsi="標楷體" w:eastAsia="標楷體" w:cs="標楷體"/>
          <w:color w:val="000000"/>
          <w:kern w:val="0"/>
          <w:szCs w:val="24"/>
        </w:rPr>
        <w:t>即使不支付費用，人民還是可以享受到公共財之利益：譬如，逃稅的人仍然可以受到國防安全網的保護。因此消費者對公共財之願付價格____消費者由此公共財得到的利益。此現象稱為格____。</w:t>
      </w:r>
      <w:r>
        <w:rPr>
          <w:rFonts w:hint="eastAsia" w:ascii="標楷體" w:hAnsi="標楷體" w:eastAsia="標楷體" w:cs="標楷體"/>
          <w:kern w:val="0"/>
          <w:szCs w:val="24"/>
        </w:rPr>
        <w:t xml:space="preserve"> (b)</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高於、搭便車問題</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低於、搭便車問題</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高於、排他問題</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低於、排他問題</w:t>
      </w:r>
      <w:r>
        <w:rPr>
          <w:rFonts w:hint="eastAsia" w:ascii="標楷體" w:hAnsi="標楷體" w:eastAsia="標楷體" w:cs="標楷體"/>
          <w:color w:val="000000"/>
          <w:kern w:val="0"/>
          <w:szCs w:val="24"/>
        </w:rPr>
        <w:t xml:space="preserve"> </w:t>
      </w:r>
    </w:p>
    <w:p>
      <w:pPr>
        <w:numPr>
          <w:ilvl w:val="0"/>
          <w:numId w:val="0"/>
        </w:numPr>
        <w:autoSpaceDE w:val="0"/>
        <w:autoSpaceDN w:val="0"/>
        <w:adjustRightInd w:val="0"/>
        <w:ind w:left="480" w:leftChars="200" w:firstLine="0" w:firstLineChars="0"/>
        <w:rPr>
          <w:rFonts w:hint="eastAsia" w:ascii="標楷體" w:hAnsi="標楷體" w:eastAsia="標楷體" w:cs="標楷體"/>
        </w:rPr>
      </w:pPr>
      <w:r>
        <w:rPr>
          <w:rFonts w:hint="eastAsia" w:ascii="標楷體" w:hAnsi="標楷體" w:eastAsia="標楷體" w:cs="標楷體"/>
          <w:color w:val="000000"/>
          <w:kern w:val="0"/>
          <w:szCs w:val="24"/>
        </w:rPr>
        <w:t xml:space="preserve">(106 </w:t>
      </w:r>
      <w:r>
        <w:rPr>
          <w:rFonts w:hint="eastAsia" w:ascii="標楷體" w:hAnsi="標楷體" w:eastAsia="標楷體" w:cs="標楷體"/>
          <w:color w:val="000000"/>
          <w:kern w:val="0"/>
          <w:szCs w:val="24"/>
        </w:rPr>
        <w:t>年關務特考</w:t>
      </w:r>
      <w:r>
        <w:rPr>
          <w:rFonts w:hint="eastAsia" w:ascii="標楷體" w:hAnsi="標楷體" w:eastAsia="標楷體" w:cs="標楷體"/>
          <w:color w:val="000000"/>
          <w:kern w:val="0"/>
          <w:szCs w:val="24"/>
        </w:rPr>
        <w:t>)</w:t>
      </w:r>
    </w:p>
    <w:p>
      <w:pPr>
        <w:autoSpaceDE w:val="0"/>
        <w:autoSpaceDN w:val="0"/>
        <w:adjustRightInd w:val="0"/>
        <w:rPr>
          <w:rFonts w:hint="eastAsia" w:ascii="標楷體" w:hAnsi="標楷體" w:eastAsia="標楷體" w:cs="標楷體"/>
          <w:b/>
          <w:bCs/>
          <w:color w:val="B32600"/>
          <w:kern w:val="0"/>
          <w:szCs w:val="24"/>
        </w:rPr>
      </w:pP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黃大律師事務所懸掛一些物品，下列何者不是傳遞其辯護能力的訊號</w:t>
      </w:r>
      <w:r>
        <w:rPr>
          <w:rFonts w:hint="eastAsia" w:ascii="標楷體" w:hAnsi="標楷體" w:eastAsia="標楷體" w:cs="標楷體"/>
          <w:color w:val="000000"/>
          <w:kern w:val="0"/>
          <w:szCs w:val="24"/>
        </w:rPr>
        <w:t>(signaling)</w:t>
      </w:r>
      <w:r>
        <w:rPr>
          <w:rFonts w:hint="eastAsia" w:ascii="標楷體" w:hAnsi="標楷體" w:eastAsia="標楷體" w:cs="標楷體"/>
          <w:color w:val="000000"/>
          <w:kern w:val="0"/>
          <w:szCs w:val="24"/>
        </w:rPr>
        <w:t>？</w:t>
      </w:r>
      <w:r>
        <w:rPr>
          <w:rFonts w:hint="eastAsia" w:ascii="標楷體" w:hAnsi="標楷體" w:eastAsia="標楷體" w:cs="標楷體"/>
          <w:kern w:val="0"/>
          <w:szCs w:val="24"/>
        </w:rPr>
        <w:t xml:space="preserve">(c)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被告的感謝狀</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法律系畢業證書</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模範父親表揚狀</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大企業的法律顧問書</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(105 </w:t>
      </w:r>
      <w:r>
        <w:rPr>
          <w:rFonts w:hint="eastAsia" w:ascii="標楷體" w:hAnsi="標楷體" w:eastAsia="標楷體" w:cs="標楷體"/>
          <w:color w:val="000000"/>
          <w:kern w:val="0"/>
          <w:szCs w:val="24"/>
        </w:rPr>
        <w:t>年關務人員特考</w:t>
      </w:r>
      <w:r>
        <w:rPr>
          <w:rFonts w:hint="eastAsia" w:ascii="標楷體" w:hAnsi="標楷體" w:eastAsia="標楷體" w:cs="標楷體"/>
          <w:color w:val="000000"/>
          <w:kern w:val="0"/>
          <w:szCs w:val="24"/>
        </w:rPr>
        <w:t>)</w:t>
      </w:r>
    </w:p>
    <w:p>
      <w:pPr>
        <w:numPr>
          <w:ilvl w:val="0"/>
          <w:numId w:val="1"/>
        </w:numPr>
        <w:autoSpaceDE w:val="0"/>
        <w:autoSpaceDN w:val="0"/>
        <w:adjustRightInd w:val="0"/>
        <w:ind w:left="425" w:leftChars="0" w:hanging="425" w:firstLineChars="0"/>
        <w:rPr>
          <w:rFonts w:hint="eastAsia" w:ascii="標楷體" w:hAnsi="標楷體" w:eastAsia="標楷體" w:cs="標楷體"/>
          <w:kern w:val="0"/>
          <w:szCs w:val="24"/>
        </w:rPr>
      </w:pPr>
      <w:r>
        <w:rPr>
          <w:rFonts w:hint="eastAsia" w:ascii="標楷體" w:hAnsi="標楷體" w:eastAsia="標楷體" w:cs="標楷體"/>
          <w:color w:val="000000"/>
          <w:kern w:val="0"/>
          <w:szCs w:val="24"/>
        </w:rPr>
        <w:t>下列何者引起逆向選擇</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 xml:space="preserve">(adverse selection) </w:t>
      </w:r>
      <w:r>
        <w:rPr>
          <w:rFonts w:hint="eastAsia" w:ascii="標楷體" w:hAnsi="標楷體" w:eastAsia="標楷體" w:cs="標楷體"/>
          <w:color w:val="000000"/>
          <w:kern w:val="0"/>
          <w:szCs w:val="24"/>
        </w:rPr>
        <w:t>的可能性最高？</w:t>
      </w:r>
      <w:r>
        <w:rPr>
          <w:rFonts w:hint="eastAsia" w:ascii="標楷體" w:hAnsi="標楷體" w:eastAsia="標楷體" w:cs="標楷體"/>
          <w:kern w:val="0"/>
          <w:szCs w:val="24"/>
        </w:rPr>
        <w:t xml:space="preserve"> (d)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地震險</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颱風險</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水災險</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汽車險</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下列關於解決逆向選擇，哪一項最沒有效果？</w:t>
      </w:r>
      <w:r>
        <w:rPr>
          <w:rFonts w:hint="eastAsia" w:ascii="標楷體" w:hAnsi="標楷體" w:eastAsia="標楷體" w:cs="標楷體"/>
          <w:kern w:val="0"/>
          <w:szCs w:val="24"/>
        </w:rPr>
        <w:t xml:space="preserve"> (b)</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公司在面試新進員工時會參考學歷</w:t>
      </w:r>
      <w:r>
        <w:rPr>
          <w:rFonts w:hint="eastAsia" w:ascii="標楷體" w:hAnsi="標楷體" w:eastAsia="標楷體" w:cs="標楷體"/>
          <w:color w:val="000000"/>
          <w:kern w:val="0"/>
          <w:szCs w:val="24"/>
        </w:rPr>
        <w:t xml:space="preserve"> </w:t>
      </w:r>
      <w:r>
        <w:rPr>
          <w:rFonts w:hint="eastAsia" w:ascii="標楷體" w:hAnsi="標楷體" w:eastAsia="標楷體" w:cs="標楷體"/>
          <w:color w:val="000000"/>
          <w:kern w:val="0"/>
          <w:szCs w:val="24"/>
        </w:rPr>
        <w:t>(</w:t>
      </w:r>
      <w:r>
        <w:rPr>
          <w:rFonts w:hint="eastAsia" w:ascii="標楷體" w:hAnsi="標楷體" w:eastAsia="標楷體" w:cs="標楷體"/>
          <w:color w:val="000000"/>
          <w:kern w:val="0"/>
          <w:szCs w:val="24"/>
        </w:rPr>
        <w:t>文憑</w:t>
      </w:r>
      <w:r>
        <w:rPr>
          <w:rFonts w:hint="eastAsia" w:ascii="標楷體" w:hAnsi="標楷體" w:eastAsia="標楷體" w:cs="標楷體"/>
          <w:color w:val="000000"/>
          <w:kern w:val="0"/>
          <w:szCs w:val="24"/>
        </w:rPr>
        <w:t>)</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保險公司提高保單的收費</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要求保險人體檢</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銀行要求債信良好的公務員為借款人做連帶保證人</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雇主想要克服員工道德風險的問題，是藉由：</w:t>
      </w:r>
      <w:r>
        <w:rPr>
          <w:rFonts w:hint="eastAsia" w:ascii="標楷體" w:hAnsi="標楷體" w:eastAsia="標楷體" w:cs="標楷體"/>
          <w:kern w:val="0"/>
          <w:szCs w:val="24"/>
        </w:rPr>
        <w:t xml:space="preserve">  (c)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經常支付員工薪資</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支付低於均衡的工資，因為員工可能溜班</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監督員工努力工作的情形</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要求員工接受就業前的努力工作測試</w:t>
      </w: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下列何者為委託人企圖處理道德風險的例子？</w:t>
      </w:r>
      <w:r>
        <w:rPr>
          <w:rFonts w:hint="eastAsia" w:ascii="標楷體" w:hAnsi="標楷體" w:eastAsia="標楷體" w:cs="標楷體"/>
          <w:kern w:val="0"/>
          <w:szCs w:val="24"/>
        </w:rPr>
        <w:t xml:space="preserve"> (d)</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嬰兒父母在保姆到家前放置隱藏式錄影機</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保險公司檢視警方記錄有關要保人的交通違規情形</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雇主每天檢視員工的產出水準</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以上皆是</w:t>
      </w:r>
    </w:p>
    <w:p>
      <w:pPr>
        <w:numPr>
          <w:numId w:val="0"/>
        </w:numPr>
        <w:autoSpaceDE w:val="0"/>
        <w:autoSpaceDN w:val="0"/>
        <w:adjustRightInd w:val="0"/>
        <w:ind w:leftChars="0"/>
        <w:rPr>
          <w:rFonts w:hint="eastAsia" w:ascii="標楷體" w:hAnsi="標楷體" w:eastAsia="標楷體" w:cs="標楷體"/>
          <w:color w:val="000000"/>
          <w:kern w:val="0"/>
          <w:szCs w:val="24"/>
        </w:rPr>
      </w:pPr>
    </w:p>
    <w:p>
      <w:pPr>
        <w:numPr>
          <w:numId w:val="0"/>
        </w:numPr>
        <w:autoSpaceDE w:val="0"/>
        <w:autoSpaceDN w:val="0"/>
        <w:adjustRightInd w:val="0"/>
        <w:ind w:leftChars="0"/>
        <w:rPr>
          <w:rFonts w:hint="eastAsia" w:ascii="標楷體" w:hAnsi="標楷體" w:eastAsia="標楷體" w:cs="標楷體"/>
          <w:color w:val="000000"/>
          <w:kern w:val="0"/>
          <w:szCs w:val="24"/>
        </w:rPr>
      </w:pPr>
    </w:p>
    <w:p>
      <w:pPr>
        <w:numPr>
          <w:ilvl w:val="0"/>
          <w:numId w:val="1"/>
        </w:numPr>
        <w:autoSpaceDE w:val="0"/>
        <w:autoSpaceDN w:val="0"/>
        <w:adjustRightInd w:val="0"/>
        <w:ind w:left="425" w:leftChars="0" w:hanging="425"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保險公司的汽車保單想要藉由提供不同自付額與不同保費來區分優良駕駛與瘋狂駕駛。這是一個下列何者的例子？</w:t>
      </w:r>
      <w:r>
        <w:rPr>
          <w:rFonts w:hint="eastAsia" w:ascii="標楷體" w:hAnsi="標楷體" w:eastAsia="標楷體" w:cs="標楷體"/>
          <w:kern w:val="0"/>
          <w:szCs w:val="24"/>
        </w:rPr>
        <w:t xml:space="preserve"> (a)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篩選</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行為經濟學</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訊息傳遞</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贏者的詛咒</w:t>
      </w:r>
    </w:p>
    <w:p>
      <w:pPr>
        <w:numPr>
          <w:ilvl w:val="0"/>
          <w:numId w:val="1"/>
        </w:numPr>
        <w:autoSpaceDE w:val="0"/>
        <w:autoSpaceDN w:val="0"/>
        <w:adjustRightInd w:val="0"/>
        <w:ind w:left="425" w:leftChars="0" w:hanging="425" w:firstLineChars="0"/>
        <w:rPr>
          <w:rFonts w:hint="eastAsia" w:ascii="標楷體" w:hAnsi="標楷體" w:eastAsia="標楷體" w:cs="標楷體"/>
        </w:rPr>
      </w:pPr>
      <w:r>
        <w:rPr>
          <w:rFonts w:hint="eastAsia" w:ascii="標楷體" w:hAnsi="標楷體" w:eastAsia="標楷體" w:cs="標楷體"/>
          <w:color w:val="000000"/>
          <w:kern w:val="0"/>
          <w:szCs w:val="24"/>
        </w:rPr>
        <w:t>許多報導指出公司高層「肥貓」問題，這個問題和下列哪一個概念接近？</w:t>
      </w:r>
      <w:r>
        <w:rPr>
          <w:rFonts w:hint="eastAsia" w:ascii="標楷體" w:hAnsi="標楷體" w:eastAsia="標楷體" w:cs="標楷體"/>
          <w:kern w:val="0"/>
          <w:szCs w:val="24"/>
        </w:rPr>
        <w:t xml:space="preserve"> (a)</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(a) </w:t>
      </w:r>
      <w:r>
        <w:rPr>
          <w:rFonts w:hint="eastAsia" w:ascii="標楷體" w:hAnsi="標楷體" w:eastAsia="標楷體" w:cs="標楷體"/>
          <w:color w:val="000000"/>
          <w:kern w:val="0"/>
          <w:szCs w:val="24"/>
        </w:rPr>
        <w:t>道德危機</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(b) </w:t>
      </w:r>
      <w:r>
        <w:rPr>
          <w:rFonts w:hint="eastAsia" w:ascii="標楷體" w:hAnsi="標楷體" w:eastAsia="標楷體" w:cs="標楷體"/>
          <w:color w:val="000000"/>
          <w:kern w:val="0"/>
          <w:szCs w:val="24"/>
        </w:rPr>
        <w:t>逆向選擇</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(c) </w:t>
      </w:r>
      <w:r>
        <w:rPr>
          <w:rFonts w:hint="eastAsia" w:ascii="標楷體" w:hAnsi="標楷體" w:eastAsia="標楷體" w:cs="標楷體"/>
          <w:color w:val="000000"/>
          <w:kern w:val="0"/>
          <w:szCs w:val="24"/>
        </w:rPr>
        <w:t>分散投資</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(d) </w:t>
      </w:r>
      <w:r>
        <w:rPr>
          <w:rFonts w:hint="eastAsia" w:ascii="標楷體" w:hAnsi="標楷體" w:eastAsia="標楷體" w:cs="標楷體"/>
          <w:color w:val="000000"/>
          <w:kern w:val="0"/>
          <w:szCs w:val="24"/>
        </w:rPr>
        <w:t>限制轉售價格</w:t>
      </w:r>
      <w:r>
        <w:rPr>
          <w:rFonts w:hint="eastAsia" w:ascii="標楷體" w:hAnsi="標楷體" w:eastAsia="標楷體" w:cs="標楷體"/>
          <w:color w:val="000000"/>
          <w:kern w:val="0"/>
          <w:szCs w:val="24"/>
        </w:rPr>
        <w:t xml:space="preserve"> </w:t>
      </w:r>
    </w:p>
    <w:p>
      <w:pPr>
        <w:numPr>
          <w:ilvl w:val="0"/>
          <w:numId w:val="0"/>
        </w:numPr>
        <w:autoSpaceDE w:val="0"/>
        <w:autoSpaceDN w:val="0"/>
        <w:adjustRightInd w:val="0"/>
        <w:ind w:left="480" w:leftChars="200" w:firstLine="0" w:firstLineChars="0"/>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 xml:space="preserve">(106 </w:t>
      </w:r>
      <w:r>
        <w:rPr>
          <w:rFonts w:hint="eastAsia" w:ascii="標楷體" w:hAnsi="標楷體" w:eastAsia="標楷體" w:cs="標楷體"/>
          <w:color w:val="000000"/>
          <w:kern w:val="0"/>
          <w:szCs w:val="24"/>
        </w:rPr>
        <w:t>年勞工行政</w:t>
      </w:r>
      <w:r>
        <w:rPr>
          <w:rFonts w:hint="eastAsia" w:ascii="標楷體" w:hAnsi="標楷體" w:eastAsia="標楷體" w:cs="標楷體"/>
          <w:color w:val="000000"/>
          <w:kern w:val="0"/>
          <w:szCs w:val="24"/>
        </w:rPr>
        <w:t>)</w:t>
      </w:r>
    </w:p>
    <w:p>
      <w:pPr>
        <w:numPr>
          <w:ilvl w:val="0"/>
          <w:numId w:val="1"/>
        </w:numPr>
        <w:ind w:left="425" w:leftChars="0" w:hanging="425" w:firstLineChars="0"/>
        <w:rPr>
          <w:rFonts w:hint="eastAsia" w:ascii="標楷體" w:hAnsi="標楷體" w:eastAsia="標楷體" w:cs="標楷體"/>
        </w:rPr>
      </w:pPr>
      <w:r>
        <w:rPr>
          <w:rFonts w:hint="eastAsia" w:ascii="標楷體" w:hAnsi="標楷體" w:eastAsia="標楷體" w:cs="標楷體"/>
        </w:rPr>
        <w:t>經濟利潤是：b</w:t>
      </w:r>
    </w:p>
    <w:p>
      <w:pPr>
        <w:ind w:left="480" w:leftChars="200" w:firstLine="0" w:firstLineChars="0"/>
        <w:rPr>
          <w:rFonts w:hint="eastAsia" w:ascii="標楷體" w:hAnsi="標楷體" w:eastAsia="標楷體" w:cs="標楷體"/>
        </w:rPr>
      </w:pPr>
      <w:r>
        <w:rPr>
          <w:rFonts w:hint="eastAsia" w:ascii="標楷體" w:hAnsi="標楷體" w:eastAsia="標楷體" w:cs="標楷體"/>
        </w:rPr>
        <w:t>(a) 等於商業利潤。</w:t>
      </w:r>
    </w:p>
    <w:p>
      <w:pPr>
        <w:ind w:left="480" w:leftChars="200" w:firstLine="0" w:firstLineChars="0"/>
        <w:rPr>
          <w:rFonts w:hint="eastAsia" w:ascii="標楷體" w:hAnsi="標楷體" w:eastAsia="標楷體" w:cs="標楷體"/>
        </w:rPr>
      </w:pPr>
      <w:r>
        <w:rPr>
          <w:rFonts w:hint="eastAsia" w:ascii="標楷體" w:hAnsi="標楷體" w:eastAsia="標楷體" w:cs="標楷體"/>
        </w:rPr>
        <w:t>(b) 指總收益扣除經濟成本的餘額。</w:t>
      </w:r>
    </w:p>
    <w:p>
      <w:pPr>
        <w:ind w:left="480" w:leftChars="200" w:firstLine="0" w:firstLineChars="0"/>
        <w:rPr>
          <w:rFonts w:hint="eastAsia" w:ascii="標楷體" w:hAnsi="標楷體" w:eastAsia="標楷體" w:cs="標楷體"/>
        </w:rPr>
      </w:pPr>
      <w:r>
        <w:rPr>
          <w:rFonts w:hint="eastAsia" w:ascii="標楷體" w:hAnsi="標楷體" w:eastAsia="標楷體" w:cs="標楷體"/>
        </w:rPr>
        <w:t>(c) 通常大於會計利潤。</w:t>
      </w:r>
    </w:p>
    <w:p>
      <w:pPr>
        <w:ind w:left="480" w:leftChars="200" w:firstLine="0" w:firstLineChars="0"/>
        <w:rPr>
          <w:rFonts w:hint="eastAsia" w:ascii="標楷體" w:hAnsi="標楷體" w:eastAsia="標楷體" w:cs="標楷體"/>
        </w:rPr>
      </w:pPr>
      <w:r>
        <w:rPr>
          <w:rFonts w:hint="eastAsia" w:ascii="標楷體" w:hAnsi="標楷體" w:eastAsia="標楷體" w:cs="標楷體"/>
        </w:rPr>
        <w:t>(d) 指損益表的本期盈虧。 (94 年四技二專)</w:t>
      </w:r>
    </w:p>
    <w:p>
      <w:pPr>
        <w:numPr>
          <w:ilvl w:val="0"/>
          <w:numId w:val="1"/>
        </w:numPr>
        <w:ind w:left="425" w:leftChars="0" w:hanging="425" w:firstLineChars="0"/>
        <w:rPr>
          <w:rFonts w:hint="eastAsia" w:ascii="標楷體" w:hAnsi="標楷體" w:eastAsia="標楷體" w:cs="標楷體"/>
        </w:rPr>
      </w:pPr>
      <w:r>
        <w:rPr>
          <w:rFonts w:hint="eastAsia" w:ascii="標楷體" w:hAnsi="標楷體" w:eastAsia="標楷體" w:cs="標楷體"/>
        </w:rPr>
        <w:t>當一企業在短期提高其產出，下列何者不會上升？d</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(a) 平均總成本。</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(b) 平均固定成本。</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(c) 邊際成本。</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(d) 平均變動成本。</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(93 年政大金融)</w:t>
      </w:r>
    </w:p>
    <w:p>
      <w:pPr>
        <w:numPr>
          <w:ilvl w:val="0"/>
          <w:numId w:val="1"/>
        </w:numPr>
        <w:ind w:left="425" w:leftChars="0" w:hanging="425" w:firstLineChars="0"/>
        <w:rPr>
          <w:rFonts w:hint="eastAsia" w:ascii="標楷體" w:hAnsi="標楷體" w:eastAsia="標楷體" w:cs="標楷體"/>
        </w:rPr>
      </w:pPr>
      <w:r>
        <w:rPr>
          <w:rFonts w:hint="eastAsia" w:ascii="標楷體" w:hAnsi="標楷體" w:eastAsia="標楷體" w:cs="標楷體"/>
        </w:rPr>
        <w:t>下列有關平均產量的敘述，何者正確？d</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(a) 隨邊際產量的下降而增加，且隨邊際產量的上升而減少。</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(b) 隨邊際產量的上升而增加，且隨邊際產出的下降而減少。</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(c) 必定小於邊際產量。</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 xml:space="preserve">(d) 當其等於邊際產量時，其值最大。 </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(92 年四技二專)</w:t>
      </w:r>
    </w:p>
    <w:p>
      <w:pPr>
        <w:numPr>
          <w:ilvl w:val="0"/>
          <w:numId w:val="1"/>
        </w:numPr>
        <w:ind w:left="425" w:leftChars="0" w:hanging="425" w:firstLineChars="0"/>
        <w:rPr>
          <w:rFonts w:hint="eastAsia" w:ascii="標楷體" w:hAnsi="標楷體" w:eastAsia="標楷體" w:cs="標楷體"/>
        </w:rPr>
      </w:pPr>
      <w:r>
        <w:rPr>
          <w:rFonts w:hint="eastAsia" w:ascii="標楷體" w:hAnsi="標楷體" w:eastAsia="標楷體" w:cs="標楷體"/>
        </w:rPr>
        <w:t>完全競爭市場之廠商在短期均衡時，具有下列何種特性？a</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(a) 價格必定等於短期邊際成本。</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(b) 均衡點必定位於 ATC 曲線的最低點。</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(c) 均衡時必定沒有超額利潤。</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 xml:space="preserve">(d) P 必須高於平均固定成本，才會生產。 </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(87 年四技商專)</w:t>
      </w:r>
    </w:p>
    <w:p>
      <w:pPr>
        <w:numPr>
          <w:ilvl w:val="0"/>
          <w:numId w:val="0"/>
        </w:numPr>
        <w:ind w:left="480" w:leftChars="200" w:firstLine="0" w:firstLineChars="0"/>
        <w:rPr>
          <w:rFonts w:hint="eastAsia" w:ascii="標楷體" w:hAnsi="標楷體" w:eastAsia="標楷體" w:cs="標楷體"/>
        </w:rPr>
      </w:pPr>
    </w:p>
    <w:p>
      <w:pPr>
        <w:numPr>
          <w:ilvl w:val="0"/>
          <w:numId w:val="0"/>
        </w:numPr>
        <w:ind w:left="480" w:leftChars="200" w:firstLine="0" w:firstLineChars="0"/>
        <w:rPr>
          <w:rFonts w:hint="eastAsia" w:ascii="標楷體" w:hAnsi="標楷體" w:eastAsia="標楷體" w:cs="標楷體"/>
        </w:rPr>
      </w:pPr>
    </w:p>
    <w:p>
      <w:pPr>
        <w:numPr>
          <w:ilvl w:val="0"/>
          <w:numId w:val="0"/>
        </w:numPr>
        <w:ind w:left="480" w:leftChars="200" w:firstLine="0" w:firstLineChars="0"/>
        <w:rPr>
          <w:rFonts w:hint="eastAsia" w:ascii="標楷體" w:hAnsi="標楷體" w:eastAsia="標楷體" w:cs="標楷體"/>
        </w:rPr>
      </w:pPr>
    </w:p>
    <w:p>
      <w:pPr>
        <w:numPr>
          <w:ilvl w:val="0"/>
          <w:numId w:val="1"/>
        </w:numPr>
        <w:ind w:left="425" w:leftChars="0" w:hanging="425" w:firstLineChars="0"/>
        <w:rPr>
          <w:rFonts w:hint="eastAsia" w:ascii="標楷體" w:hAnsi="標楷體" w:eastAsia="標楷體" w:cs="標楷體"/>
        </w:rPr>
      </w:pPr>
      <w:r>
        <w:rPr>
          <w:rFonts w:hint="eastAsia" w:ascii="標楷體" w:hAnsi="標楷體" w:eastAsia="標楷體" w:cs="標楷體"/>
        </w:rPr>
        <w:t>在一完全競爭市場中，市場需求曲線是：d</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(a) 完全有彈性。</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(b) 在市場價格下是一水平直線。</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(c) 完全無彈性。</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(d) 負斜率。</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 xml:space="preserve">(e) 正斜率。 </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(83 年中正企管)</w:t>
      </w:r>
    </w:p>
    <w:p>
      <w:pPr>
        <w:numPr>
          <w:ilvl w:val="0"/>
          <w:numId w:val="1"/>
        </w:numPr>
        <w:ind w:left="425" w:leftChars="0" w:hanging="425" w:firstLineChars="0"/>
        <w:rPr>
          <w:rFonts w:hint="eastAsia" w:ascii="標楷體" w:hAnsi="標楷體" w:eastAsia="標楷體" w:cs="標楷體"/>
        </w:rPr>
      </w:pPr>
      <w:r>
        <w:rPr>
          <w:rFonts w:hint="eastAsia" w:ascii="標楷體" w:hAnsi="標楷體" w:eastAsia="標楷體" w:cs="標楷體"/>
        </w:rPr>
        <w:t>就長期均衡而言，對完全競爭市場之廠商課稅：a</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(a) 稅負完全由消費者負擔。</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(b) 稅負完全由生產者負擔。</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(c) 生產者與消費者各自負擔一部分。</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 xml:space="preserve">(d) 政府不可能有稅收。 </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(83 年二技)</w:t>
      </w:r>
    </w:p>
    <w:p>
      <w:pPr>
        <w:numPr>
          <w:ilvl w:val="0"/>
          <w:numId w:val="1"/>
        </w:numPr>
        <w:ind w:left="425" w:leftChars="0" w:hanging="425" w:firstLineChars="0"/>
        <w:rPr>
          <w:rFonts w:hint="eastAsia" w:ascii="標楷體" w:hAnsi="標楷體" w:eastAsia="標楷體" w:cs="標楷體"/>
        </w:rPr>
      </w:pPr>
      <w:r>
        <w:rPr>
          <w:rFonts w:hint="eastAsia" w:ascii="標楷體" w:hAnsi="標楷體" w:eastAsia="標楷體" w:cs="標楷體"/>
        </w:rPr>
        <w:t>下列有關獨占的敘述，何者是不正確的？d</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(a) 獨占通常不具有分配效率。</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(b) 獨占不一定滿足生產效率。</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(c) 自然獨占的廠商必然具有規模經濟。</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 xml:space="preserve">(d) 獨占廠商不是價格接受者。因此，只要提高價格，即可增加其利潤。 </w:t>
      </w:r>
    </w:p>
    <w:p>
      <w:pPr>
        <w:numPr>
          <w:ilvl w:val="0"/>
          <w:numId w:val="0"/>
        </w:numPr>
        <w:ind w:left="480" w:leftChars="200" w:firstLine="0" w:firstLineChars="0"/>
        <w:rPr>
          <w:rFonts w:hint="eastAsia" w:ascii="標楷體" w:hAnsi="標楷體" w:eastAsia="標楷體" w:cs="標楷體"/>
        </w:rPr>
      </w:pPr>
      <w:r>
        <w:rPr>
          <w:rFonts w:hint="eastAsia" w:ascii="標楷體" w:hAnsi="標楷體" w:eastAsia="標楷體" w:cs="標楷體"/>
        </w:rPr>
        <w:t>(91 年二技)</w:t>
      </w:r>
    </w:p>
    <w:p>
      <w:pPr>
        <w:numPr>
          <w:ilvl w:val="0"/>
          <w:numId w:val="0"/>
        </w:numPr>
        <w:ind w:left="480" w:leftChars="200" w:firstLine="0" w:firstLineChars="0"/>
        <w:rPr>
          <w:rFonts w:hint="eastAsia" w:ascii="標楷體" w:hAnsi="標楷體" w:eastAsia="標楷體" w:cs="標楷體"/>
        </w:rPr>
      </w:pPr>
    </w:p>
    <w:p>
      <w:pPr>
        <w:ind w:left="480" w:leftChars="200" w:firstLine="0" w:firstLineChars="0"/>
        <w:rPr>
          <w:rFonts w:hint="eastAsia" w:ascii="標楷體" w:hAnsi="標楷體" w:eastAsia="標楷體" w:cs="標楷體"/>
        </w:rPr>
      </w:pPr>
    </w:p>
    <w:p>
      <w:pPr>
        <w:ind w:left="480" w:leftChars="200" w:firstLine="0" w:firstLineChars="0"/>
        <w:rPr>
          <w:rFonts w:hint="eastAsia" w:ascii="標楷體" w:hAnsi="標楷體" w:eastAsia="標楷體" w:cs="標楷體"/>
        </w:rPr>
      </w:pPr>
    </w:p>
    <w:p>
      <w:pPr>
        <w:ind w:left="480" w:leftChars="200" w:firstLine="0" w:firstLineChars="0"/>
        <w:rPr>
          <w:rFonts w:hint="eastAsia" w:ascii="標楷體" w:hAnsi="標楷體" w:eastAsia="標楷體" w:cs="標楷體"/>
        </w:rPr>
      </w:pPr>
    </w:p>
    <w:sectPr>
      <w:pgSz w:w="11906" w:h="16838"/>
      <w:pgMar w:top="1440" w:right="1466"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華康明體 Std W5">
    <w:altName w:val="新細明體"/>
    <w:panose1 w:val="00000000000000000000"/>
    <w:charset w:val="88"/>
    <w:family w:val="roman"/>
    <w:pitch w:val="default"/>
    <w:sig w:usb0="00000000" w:usb1="00000000" w:usb2="00000016" w:usb3="00000000" w:csb0="0010000D" w:csb1="00000000"/>
  </w:font>
  <w:font w:name="DFKaiShuStd-W5">
    <w:altName w:val="新細明體"/>
    <w:panose1 w:val="00000000000000000000"/>
    <w:charset w:val="88"/>
    <w:family w:val="auto"/>
    <w:pitch w:val="default"/>
    <w:sig w:usb0="00000000" w:usb1="00000000" w:usb2="00000010" w:usb3="00000000" w:csb0="00100000" w:csb1="00000000"/>
  </w:font>
  <w:font w:name="TimesNewRomanPS-BoldMT">
    <w:altName w:val="Times New Roman"/>
    <w:panose1 w:val="00000000000000000000"/>
    <w:charset w:val="00"/>
    <w:family w:val="roman"/>
    <w:pitch w:val="default"/>
    <w:sig w:usb0="00000000" w:usb1="00000000" w:usb2="00000000" w:usb3="00000000" w:csb0="00000001" w:csb1="00000000"/>
  </w:font>
  <w:font w:name="DFHeiStd-W5">
    <w:altName w:val="新細明體"/>
    <w:panose1 w:val="00000000000000000000"/>
    <w:charset w:val="88"/>
    <w:family w:val="auto"/>
    <w:pitch w:val="default"/>
    <w:sig w:usb0="00000000" w:usb1="00000000" w:usb2="00000010" w:usb3="00000000" w:csb0="00100000" w:csb1="00000000"/>
  </w:font>
  <w:font w:name="TimesNewRomanPSMT">
    <w:altName w:val="Times New Roman"/>
    <w:panose1 w:val="00000000000000000000"/>
    <w:charset w:val="00"/>
    <w:family w:val="roman"/>
    <w:pitch w:val="default"/>
    <w:sig w:usb0="00000000" w:usb1="00000000" w:usb2="00000000" w:usb3="00000000" w:csb0="00000001" w:csb1="00000000"/>
  </w:font>
  <w:font w:name="DFMingStd-W5">
    <w:altName w:val="新細明體"/>
    <w:panose1 w:val="00000000000000000000"/>
    <w:charset w:val="88"/>
    <w:family w:val="auto"/>
    <w:pitch w:val="default"/>
    <w:sig w:usb0="00000000" w:usb1="00000000" w:usb2="00000010" w:usb3="00000000" w:csb0="00100000" w:csb1="00000000"/>
  </w:font>
  <w:font w:name="Arial Unicode MS">
    <w:altName w:val="Arial"/>
    <w:panose1 w:val="020B0604020202020204"/>
    <w:charset w:val="88"/>
    <w:family w:val="swiss"/>
    <w:pitch w:val="default"/>
    <w:sig w:usb0="00000000" w:usb1="00000000" w:usb2="0000003F" w:usb3="00000000" w:csb0="003F01FF" w:csb1="00000000"/>
  </w:font>
  <w:font w:name="TimesNewRomanPS-ItalicMT">
    <w:altName w:val="Times New Roman"/>
    <w:panose1 w:val="00000000000000000000"/>
    <w:charset w:val="00"/>
    <w:family w:val="roman"/>
    <w:pitch w:val="default"/>
    <w:sig w:usb0="00000000" w:usb1="00000000" w:usb2="00000000" w:usb3="00000000" w:csb0="00000001" w:csb1="00000000"/>
  </w:font>
  <w:font w:name="新細明體">
    <w:panose1 w:val="02020500000000000000"/>
    <w:charset w:val="88"/>
    <w:family w:val="auto"/>
    <w:pitch w:val="default"/>
    <w:sig w:usb0="A00002FF" w:usb1="28CFFCFA" w:usb2="00000016" w:usb3="00000000" w:csb0="00100001" w:csb1="00000000"/>
  </w:font>
  <w:font w:name="Arial">
    <w:panose1 w:val="020B0604020202020204"/>
    <w:charset w:val="00"/>
    <w:family w:val="auto"/>
    <w:pitch w:val="default"/>
    <w:sig w:usb0="E0002EFF" w:usb1="C000785B" w:usb2="00000009" w:usb3="00000000" w:csb0="400001FF" w:csb1="FFFF0000"/>
  </w:font>
  <w:font w:name="Arial">
    <w:panose1 w:val="020B0604020202020204"/>
    <w:charset w:val="88"/>
    <w:family w:val="swiss"/>
    <w:pitch w:val="default"/>
    <w:sig w:usb0="E0002EFF" w:usb1="C000785B" w:usb2="00000009" w:usb3="00000000" w:csb0="400001FF" w:csb1="FFFF0000"/>
  </w:font>
  <w:font w:name="細明體">
    <w:panose1 w:val="02020509000000000000"/>
    <w:charset w:val="88"/>
    <w:family w:val="auto"/>
    <w:pitch w:val="default"/>
    <w:sig w:usb0="A00002FF" w:usb1="28CFFCFA" w:usb2="00000016" w:usb3="00000000" w:csb0="00100001" w:csb1="00000000"/>
  </w:font>
  <w:font w:name="微軟正黑體">
    <w:panose1 w:val="020B0604030504040204"/>
    <w:charset w:val="88"/>
    <w:family w:val="auto"/>
    <w:pitch w:val="default"/>
    <w:sig w:usb0="000002A7" w:usb1="28CF4400" w:usb2="00000016" w:usb3="00000000" w:csb0="00100009" w:csb1="00000000"/>
  </w:font>
  <w:font w:name="標楷體">
    <w:panose1 w:val="03000509000000000000"/>
    <w:charset w:val="88"/>
    <w:family w:val="auto"/>
    <w:pitch w:val="default"/>
    <w:sig w:usb0="00000003" w:usb1="082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A2D469"/>
    <w:multiLevelType w:val="singleLevel"/>
    <w:tmpl w:val="91A2D469"/>
    <w:lvl w:ilvl="0" w:tentative="0">
      <w:start w:val="1"/>
      <w:numFmt w:val="decimal"/>
      <w:lvlText w:val="%1."/>
      <w:lvlJc w:val="left"/>
      <w:pPr>
        <w:ind w:left="425" w:hanging="425"/>
      </w:pPr>
      <w:rPr>
        <w:rFonts w:hint="default"/>
      </w:rPr>
    </w:lvl>
  </w:abstractNum>
  <w:abstractNum w:abstractNumId="1">
    <w:nsid w:val="D4703D1A"/>
    <w:multiLevelType w:val="singleLevel"/>
    <w:tmpl w:val="D4703D1A"/>
    <w:lvl w:ilvl="0" w:tentative="0">
      <w:start w:val="1"/>
      <w:numFmt w:val="low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D7F51"/>
    <w:rsid w:val="388D38F6"/>
    <w:rsid w:val="57DE1735"/>
    <w:rsid w:val="59500D52"/>
    <w:rsid w:val="5BB325DB"/>
    <w:rsid w:val="5D3D7F51"/>
    <w:rsid w:val="61440C16"/>
    <w:rsid w:val="73736E97"/>
    <w:rsid w:val="75CE72DE"/>
    <w:rsid w:val="7F1C2797"/>
    <w:rsid w:val="7F4C2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4">
    <w:name w:val="Default Paragraph Font"/>
    <w:semiHidden/>
    <w:unhideWhenUsed/>
    <w:qFormat/>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annotation text"/>
    <w:basedOn w:val="1"/>
    <w:link w:val="7"/>
    <w:qFormat/>
    <w:uiPriority w:val="0"/>
    <w:pPr>
      <w:jc w:val="left"/>
    </w:pPr>
  </w:style>
  <w:style w:type="paragraph" w:styleId="3">
    <w:name w:val="Body Text"/>
    <w:basedOn w:val="1"/>
    <w:qFormat/>
    <w:uiPriority w:val="1"/>
    <w:pPr>
      <w:autoSpaceDE w:val="0"/>
      <w:autoSpaceDN w:val="0"/>
      <w:adjustRightInd w:val="0"/>
      <w:ind w:left="2174"/>
    </w:pPr>
    <w:rPr>
      <w:rFonts w:ascii="華康明體 Std W5" w:hAnsi="Times New Roman" w:eastAsia="華康明體 Std W5" w:cs="華康明體 Std W5"/>
      <w:kern w:val="0"/>
      <w:szCs w:val="24"/>
    </w:rPr>
  </w:style>
  <w:style w:type="character" w:styleId="5">
    <w:name w:val="annotation reference"/>
    <w:basedOn w:val="4"/>
    <w:uiPriority w:val="0"/>
    <w:rPr>
      <w:rFonts w:ascii="Times New Roman" w:hAnsi="Times New Roman" w:eastAsia="SimSun"/>
      <w:sz w:val="21"/>
      <w:szCs w:val="21"/>
    </w:rPr>
  </w:style>
  <w:style w:type="character" w:customStyle="1" w:styleId="7">
    <w:name w:val="批注文字 字符"/>
    <w:basedOn w:val="4"/>
    <w:link w:val="2"/>
    <w:semiHidden/>
    <w:qFormat/>
    <w:uiPriority w:val="99"/>
    <w:rPr>
      <w:rFonts w:asciiTheme="minorAscii" w:hAnsiTheme="minorAscii" w:eastAsiaTheme="minorEastAsia" w:cstheme="minorBidi"/>
      <w:kern w:val="2"/>
      <w:sz w:val="21"/>
      <w:szCs w:val="22"/>
    </w:rPr>
  </w:style>
  <w:style w:type="paragraph" w:customStyle="1" w:styleId="8">
    <w:name w:val="Table Paragraph"/>
    <w:basedOn w:val="1"/>
    <w:qFormat/>
    <w:uiPriority w:val="1"/>
    <w:pPr>
      <w:autoSpaceDE w:val="0"/>
      <w:autoSpaceDN w:val="0"/>
      <w:adjustRightInd w:val="0"/>
    </w:pPr>
    <w:rPr>
      <w:rFonts w:ascii="Times New Roman" w:hAnsi="Times New Roman" w:cs="Times New Roman"/>
      <w:kern w:val="0"/>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2018-10-23T04:00:00Z</dcterms:created>
  <dc:creator>台灣婁國豪建築師Kevin Lou</dc:creator>
  <cp:lastModifiedBy>台灣婁國豪建築師Kevin Lou</cp:lastModifiedBy>
  <dcterms:modified xsi:type="dcterms:W3CDTF">2018-10-23T05:52:53Z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