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jc w:val="center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10359B">
        <w:rPr>
          <w:rFonts w:ascii="Times New Roman" w:eastAsia="標楷體" w:hAnsi="Times New Roman" w:hint="eastAsia"/>
          <w:color w:val="000000" w:themeColor="text1"/>
          <w:sz w:val="27"/>
          <w:szCs w:val="27"/>
        </w:rPr>
        <w:t>修平科技大學機械工程系基本能力畢業門檻實施要點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jc w:val="righ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99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9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15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 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99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學期系務會議通過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jc w:val="righ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3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28</w:t>
      </w:r>
      <w:proofErr w:type="gramStart"/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四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100</w:t>
      </w:r>
      <w:proofErr w:type="gramEnd"/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學期教務會議通過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jc w:val="righ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102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9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102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學期教務會議修正通過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jc w:val="righ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105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104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學期教務會議修正通過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jc w:val="righ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106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105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學期教務會議修正通過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jc w:val="right"/>
        <w:rPr>
          <w:rFonts w:ascii="Times New Roman" w:eastAsia="標楷體" w:hAnsi="Times New Roman"/>
          <w:color w:val="000000" w:themeColor="text1"/>
          <w:sz w:val="27"/>
          <w:szCs w:val="27"/>
        </w:rPr>
      </w:pP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109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7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108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學期教務會議修正通過</w:t>
      </w:r>
    </w:p>
    <w:p w:rsidR="004D31DC" w:rsidRDefault="004D31DC" w:rsidP="004D31DC">
      <w:pPr>
        <w:pStyle w:val="cjk"/>
        <w:spacing w:before="0" w:beforeAutospacing="0" w:after="0" w:afterAutospacing="0" w:line="24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0"/>
        </w:rPr>
      </w:pP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110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7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21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109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 w:rsidRPr="0010359B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2</w:t>
      </w:r>
      <w:r w:rsidRPr="0010359B"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學期教務會議修正通過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jc w:val="right"/>
        <w:rPr>
          <w:rFonts w:ascii="Times New Roman" w:eastAsia="標楷體" w:hAnsi="Times New Roman" w:hint="eastAsia"/>
          <w:color w:val="000000" w:themeColor="text1"/>
          <w:sz w:val="27"/>
          <w:szCs w:val="27"/>
        </w:rPr>
      </w:pP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民國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111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年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月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6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日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110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學年度第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2</w:t>
      </w:r>
      <w:r>
        <w:rPr>
          <w:rFonts w:ascii="Times New Roman" w:eastAsia="標楷體" w:hAnsi="Times New Roman" w:hint="eastAsia"/>
          <w:color w:val="000000" w:themeColor="text1"/>
          <w:sz w:val="20"/>
          <w:szCs w:val="20"/>
        </w:rPr>
        <w:t>學期教務會議修正通過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Chars="1" w:left="559" w:hangingChars="232" w:hanging="557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hint="eastAsia"/>
          <w:color w:val="000000" w:themeColor="text1"/>
        </w:rPr>
        <w:t>一、</w:t>
      </w:r>
      <w:r w:rsidRPr="0010359B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10359B">
        <w:rPr>
          <w:rFonts w:ascii="Times New Roman" w:eastAsia="標楷體" w:hAnsi="Times New Roman" w:hint="eastAsia"/>
          <w:color w:val="000000" w:themeColor="text1"/>
        </w:rPr>
        <w:t>為配合修平科技大學（以下簡稱本校）培養學生核心能力，提升機械工程系（以下簡稱本系）學生基本能力，特訂「機械工程系基本能力畢業門檻實施要點」（以下簡稱本要點）。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hint="eastAsia"/>
          <w:color w:val="000000" w:themeColor="text1"/>
        </w:rPr>
        <w:t>二、</w:t>
      </w:r>
      <w:r w:rsidRPr="0010359B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10359B">
        <w:rPr>
          <w:rFonts w:ascii="Times New Roman" w:eastAsia="標楷體" w:hAnsi="Times New Roman" w:hint="eastAsia"/>
          <w:color w:val="000000" w:themeColor="text1"/>
        </w:rPr>
        <w:t>教育目標：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21" w:firstLine="530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proofErr w:type="gramStart"/>
      <w:r w:rsidRPr="0010359B">
        <w:rPr>
          <w:rFonts w:ascii="Times New Roman" w:eastAsia="標楷體" w:hAnsi="Times New Roman" w:hint="eastAsia"/>
          <w:color w:val="000000" w:themeColor="text1"/>
        </w:rPr>
        <w:t>一</w:t>
      </w:r>
      <w:proofErr w:type="gramEnd"/>
      <w:r w:rsidRPr="0010359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506C95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10359B">
        <w:rPr>
          <w:rFonts w:ascii="Times New Roman" w:eastAsia="標楷體" w:hAnsi="Times New Roman" w:hint="eastAsia"/>
          <w:color w:val="000000" w:themeColor="text1"/>
        </w:rPr>
        <w:t>培育機械實務操作能力之專業技術人才。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21" w:firstLine="530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二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="00506C95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r w:rsidRPr="0010359B">
        <w:rPr>
          <w:rFonts w:ascii="Times New Roman" w:eastAsia="標楷體" w:hAnsi="Times New Roman" w:hint="eastAsia"/>
          <w:color w:val="000000" w:themeColor="text1"/>
        </w:rPr>
        <w:t>培育機械專業理論與工程分析之專業技術人才。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21" w:firstLine="530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三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="00506C95">
        <w:rPr>
          <w:rFonts w:ascii="Times New Roman" w:eastAsia="標楷體" w:hAnsi="Times New Roman" w:cs="Times New Roman" w:hint="eastAsia"/>
          <w:color w:val="000000" w:themeColor="text1"/>
        </w:rPr>
        <w:t xml:space="preserve"> </w:t>
      </w:r>
      <w:bookmarkStart w:id="0" w:name="_GoBack"/>
      <w:bookmarkEnd w:id="0"/>
      <w:r w:rsidRPr="0010359B">
        <w:rPr>
          <w:rFonts w:ascii="Times New Roman" w:eastAsia="標楷體" w:hAnsi="Times New Roman" w:hint="eastAsia"/>
          <w:color w:val="000000" w:themeColor="text1"/>
        </w:rPr>
        <w:t>培育創造力、專業倫理、團隊合作精神及社會關懷素養之現代專業技術人才。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21" w:firstLine="530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四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strike/>
          <w:color w:val="000000" w:themeColor="text1"/>
        </w:rPr>
        <w:t>具</w:t>
      </w:r>
      <w:r w:rsidRPr="0010359B">
        <w:rPr>
          <w:rFonts w:ascii="Times New Roman" w:eastAsia="標楷體" w:hAnsi="Times New Roman" w:hint="eastAsia"/>
          <w:color w:val="000000" w:themeColor="text1"/>
        </w:rPr>
        <w:t>培育國際化視野與自我再教育能力之現代專業技術人才。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hint="eastAsia"/>
          <w:color w:val="000000" w:themeColor="text1"/>
        </w:rPr>
        <w:t>三、</w:t>
      </w:r>
      <w:r w:rsidRPr="0010359B">
        <w:rPr>
          <w:rFonts w:ascii="Times New Roman" w:eastAsia="標楷體" w:hAnsi="Times New Roman" w:hint="eastAsia"/>
          <w:color w:val="000000" w:themeColor="text1"/>
        </w:rPr>
        <w:t xml:space="preserve"> </w:t>
      </w:r>
      <w:r w:rsidRPr="0010359B">
        <w:rPr>
          <w:rFonts w:ascii="Times New Roman" w:eastAsia="標楷體" w:hAnsi="Times New Roman" w:hint="eastAsia"/>
          <w:color w:val="000000" w:themeColor="text1"/>
        </w:rPr>
        <w:t>核心能力：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10" w:firstLine="50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proofErr w:type="gramStart"/>
      <w:r w:rsidRPr="0010359B">
        <w:rPr>
          <w:rFonts w:ascii="Times New Roman" w:eastAsia="標楷體" w:hAnsi="Times New Roman" w:hint="eastAsia"/>
          <w:color w:val="000000" w:themeColor="text1"/>
        </w:rPr>
        <w:t>一</w:t>
      </w:r>
      <w:proofErr w:type="gramEnd"/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語文與多元視野。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10" w:firstLine="50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二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團隊與溝通協調。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10" w:firstLine="50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三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創新與問題解決。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10" w:firstLine="50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四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服務與統籌領導。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10" w:firstLine="50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五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工程知識。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10" w:firstLine="50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六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設計規劃。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10" w:firstLine="50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七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資訊能力。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firstLineChars="210" w:firstLine="50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八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實務技術。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hint="eastAsia"/>
          <w:color w:val="000000" w:themeColor="text1"/>
        </w:rPr>
        <w:t>四、適用對象：本要點適用</w:t>
      </w:r>
      <w:r w:rsidRPr="0010359B">
        <w:rPr>
          <w:rFonts w:ascii="Times New Roman" w:eastAsia="標楷體" w:hAnsi="Times New Roman" w:cs="Times New Roman" w:hint="eastAsia"/>
          <w:color w:val="000000" w:themeColor="text1"/>
          <w:u w:val="single"/>
        </w:rPr>
        <w:t>110</w:t>
      </w:r>
      <w:r w:rsidRPr="0010359B">
        <w:rPr>
          <w:rFonts w:ascii="Times New Roman" w:eastAsia="標楷體" w:hAnsi="Times New Roman" w:hint="eastAsia"/>
          <w:color w:val="000000" w:themeColor="text1"/>
        </w:rPr>
        <w:t>學年度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含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0359B">
        <w:rPr>
          <w:rFonts w:ascii="Times New Roman" w:eastAsia="標楷體" w:hAnsi="Times New Roman" w:hint="eastAsia"/>
          <w:color w:val="000000" w:themeColor="text1"/>
        </w:rPr>
        <w:t>以後入學之日間部學生。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="1692" w:hangingChars="705" w:hanging="1692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hint="eastAsia"/>
          <w:color w:val="000000" w:themeColor="text1"/>
        </w:rPr>
        <w:t>五、畢業門檻：本系學生之基本能力認定，除原規定之畢業學分外，另需取得下列任一項合格者為達到畢業門檻：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Chars="186" w:left="880" w:hangingChars="181" w:hanging="43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proofErr w:type="gramStart"/>
      <w:r w:rsidRPr="0010359B">
        <w:rPr>
          <w:rFonts w:ascii="Times New Roman" w:eastAsia="標楷體" w:hAnsi="Times New Roman" w:hint="eastAsia"/>
          <w:color w:val="000000" w:themeColor="text1"/>
        </w:rPr>
        <w:t>一</w:t>
      </w:r>
      <w:proofErr w:type="gramEnd"/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根據「修平科技大學技能檢定、專業認證及技能競賽獎助實施細則」，通過乙級證照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同等級證照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0359B">
        <w:rPr>
          <w:rFonts w:ascii="Times New Roman" w:eastAsia="標楷體" w:hAnsi="Times New Roman" w:hint="eastAsia"/>
          <w:color w:val="000000" w:themeColor="text1"/>
        </w:rPr>
        <w:t>乙張或丙級證照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同等級證照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0359B">
        <w:rPr>
          <w:rFonts w:ascii="Times New Roman" w:eastAsia="標楷體" w:hAnsi="Times New Roman" w:hint="eastAsia"/>
          <w:color w:val="000000" w:themeColor="text1"/>
        </w:rPr>
        <w:t>兩張。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Chars="186" w:left="880" w:hangingChars="181" w:hanging="43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二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根據「修平科技大學技能檢定、專業認證及技能競賽獎助實施細則」，代表學校參加校外技能競賽或展覽獲得研發處認可之獎助者。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Chars="186" w:left="880" w:hangingChars="181" w:hanging="43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三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參與校外實習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一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0359B">
        <w:rPr>
          <w:rFonts w:ascii="Times New Roman" w:eastAsia="標楷體" w:hAnsi="Times New Roman" w:hint="eastAsia"/>
          <w:color w:val="000000" w:themeColor="text1"/>
        </w:rPr>
        <w:t>及校外實習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二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0359B">
        <w:rPr>
          <w:rFonts w:ascii="Times New Roman" w:eastAsia="標楷體" w:hAnsi="Times New Roman" w:hint="eastAsia"/>
          <w:color w:val="000000" w:themeColor="text1"/>
        </w:rPr>
        <w:t>，且成績及格。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Chars="186" w:left="880" w:hangingChars="181" w:hanging="43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四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取得本校跨系學程證書。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Chars="186" w:left="880" w:hangingChars="181" w:hanging="43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五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參與且完成「科技部輔助大專學生研究計畫」。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Chars="186" w:left="880" w:hangingChars="181" w:hanging="434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cs="Times New Roman" w:hint="eastAsia"/>
          <w:color w:val="000000" w:themeColor="text1"/>
        </w:rPr>
        <w:lastRenderedPageBreak/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六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 </w:t>
      </w:r>
      <w:r w:rsidRPr="0010359B">
        <w:rPr>
          <w:rFonts w:ascii="Times New Roman" w:eastAsia="標楷體" w:hAnsi="Times New Roman" w:hint="eastAsia"/>
          <w:color w:val="000000" w:themeColor="text1"/>
        </w:rPr>
        <w:t>於四年級畢業前無法取得上述五項任一項合格者，需於畢業學年後再次報考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1</w:t>
      </w:r>
      <w:r w:rsidRPr="0010359B">
        <w:rPr>
          <w:rFonts w:ascii="Times New Roman" w:eastAsia="標楷體" w:hAnsi="Times New Roman" w:hint="eastAsia"/>
          <w:color w:val="000000" w:themeColor="text1"/>
        </w:rPr>
        <w:t>次丙級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10359B">
        <w:rPr>
          <w:rFonts w:ascii="Times New Roman" w:eastAsia="標楷體" w:hAnsi="Times New Roman" w:hint="eastAsia"/>
          <w:color w:val="000000" w:themeColor="text1"/>
        </w:rPr>
        <w:t>或同等級</w:t>
      </w:r>
      <w:r w:rsidRPr="0010359B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10359B">
        <w:rPr>
          <w:rFonts w:ascii="Times New Roman" w:eastAsia="標楷體" w:hAnsi="Times New Roman" w:hint="eastAsia"/>
          <w:color w:val="000000" w:themeColor="text1"/>
        </w:rPr>
        <w:t>以上技能檢定，相關報考證明送系課程委員會審核通過後，方可抵免畢業門檻。</w:t>
      </w:r>
    </w:p>
    <w:p w:rsidR="004D31DC" w:rsidRPr="0010359B" w:rsidRDefault="004D31DC" w:rsidP="004D31DC">
      <w:pPr>
        <w:pStyle w:val="cjk"/>
        <w:spacing w:before="0" w:beforeAutospacing="0" w:after="0" w:afterAutospacing="0" w:line="240" w:lineRule="atLeast"/>
        <w:ind w:left="475" w:hangingChars="198" w:hanging="475"/>
        <w:rPr>
          <w:rFonts w:ascii="Times New Roman" w:eastAsia="標楷體" w:hAnsi="Times New Roman"/>
          <w:color w:val="000000" w:themeColor="text1"/>
        </w:rPr>
      </w:pPr>
      <w:r w:rsidRPr="0010359B">
        <w:rPr>
          <w:rFonts w:ascii="Times New Roman" w:eastAsia="標楷體" w:hAnsi="Times New Roman" w:hint="eastAsia"/>
          <w:color w:val="000000" w:themeColor="text1"/>
        </w:rPr>
        <w:t>六、本要點經系</w:t>
      </w:r>
      <w:proofErr w:type="gramStart"/>
      <w:r w:rsidRPr="0010359B">
        <w:rPr>
          <w:rFonts w:ascii="Times New Roman" w:eastAsia="標楷體" w:hAnsi="Times New Roman" w:hint="eastAsia"/>
          <w:color w:val="000000" w:themeColor="text1"/>
        </w:rPr>
        <w:t>務</w:t>
      </w:r>
      <w:proofErr w:type="gramEnd"/>
      <w:r w:rsidRPr="0010359B">
        <w:rPr>
          <w:rFonts w:ascii="Times New Roman" w:eastAsia="標楷體" w:hAnsi="Times New Roman" w:hint="eastAsia"/>
          <w:color w:val="000000" w:themeColor="text1"/>
        </w:rPr>
        <w:t>會議通過，送院</w:t>
      </w:r>
      <w:proofErr w:type="gramStart"/>
      <w:r w:rsidRPr="0010359B">
        <w:rPr>
          <w:rFonts w:ascii="Times New Roman" w:eastAsia="標楷體" w:hAnsi="Times New Roman" w:hint="eastAsia"/>
          <w:color w:val="000000" w:themeColor="text1"/>
        </w:rPr>
        <w:t>務</w:t>
      </w:r>
      <w:proofErr w:type="gramEnd"/>
      <w:r w:rsidRPr="0010359B">
        <w:rPr>
          <w:rFonts w:ascii="Times New Roman" w:eastAsia="標楷體" w:hAnsi="Times New Roman" w:hint="eastAsia"/>
          <w:color w:val="000000" w:themeColor="text1"/>
        </w:rPr>
        <w:t>會議及校教務會議通過，陳請校長核定後公布實施，修正時亦同。</w:t>
      </w:r>
    </w:p>
    <w:p w:rsidR="00345EF1" w:rsidRPr="004D31DC" w:rsidRDefault="00345EF1"/>
    <w:sectPr w:rsidR="00345EF1" w:rsidRPr="004D31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1DC"/>
    <w:rsid w:val="00345EF1"/>
    <w:rsid w:val="004D31DC"/>
    <w:rsid w:val="0050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708126-0AFC-40D3-BAF0-4B276FEA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4D31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2022-02-24T03:08:00Z</dcterms:created>
  <dcterms:modified xsi:type="dcterms:W3CDTF">2022-02-24T03:15:00Z</dcterms:modified>
</cp:coreProperties>
</file>